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061CD842"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10</w:t>
      </w:r>
      <w:r w:rsidR="00160C88">
        <w:rPr>
          <w:rFonts w:asciiTheme="minorHAnsi" w:hAnsiTheme="minorHAnsi" w:cstheme="minorHAnsi"/>
          <w:bCs/>
          <w:noProof w:val="0"/>
          <w:sz w:val="24"/>
          <w:szCs w:val="24"/>
          <w:lang w:eastAsia="zh-CN"/>
        </w:rPr>
        <w:t>9</w:t>
      </w:r>
      <w:r>
        <w:rPr>
          <w:rFonts w:asciiTheme="minorHAnsi" w:hAnsiTheme="minorHAnsi" w:cstheme="minorHAnsi"/>
          <w:bCs/>
          <w:noProof w:val="0"/>
          <w:sz w:val="24"/>
          <w:szCs w:val="24"/>
          <w:lang w:eastAsia="zh-CN"/>
        </w:rPr>
        <w:tab/>
      </w:r>
      <w:r w:rsidR="006610FE" w:rsidRPr="006610FE">
        <w:rPr>
          <w:rFonts w:asciiTheme="minorHAnsi" w:hAnsiTheme="minorHAnsi" w:cstheme="minorHAnsi"/>
          <w:bCs/>
          <w:noProof w:val="0"/>
          <w:sz w:val="24"/>
          <w:szCs w:val="24"/>
          <w:lang w:eastAsia="zh-CN"/>
        </w:rPr>
        <w:t>R4-2318499</w:t>
      </w:r>
    </w:p>
    <w:p w14:paraId="3A653C59" w14:textId="1B0DCC35" w:rsidR="00F41657" w:rsidRDefault="00160C88" w:rsidP="00F41657">
      <w:pPr>
        <w:pStyle w:val="Header"/>
        <w:tabs>
          <w:tab w:val="right" w:pos="9639"/>
          <w:tab w:val="right" w:pos="13323"/>
        </w:tabs>
        <w:jc w:val="both"/>
        <w:rPr>
          <w:rFonts w:asciiTheme="minorHAnsi" w:hAnsiTheme="minorHAnsi" w:cstheme="minorHAnsi"/>
          <w:bCs/>
          <w:noProof w:val="0"/>
          <w:sz w:val="24"/>
          <w:szCs w:val="24"/>
          <w:lang w:eastAsia="zh-CN"/>
        </w:rPr>
      </w:pPr>
      <w:r w:rsidRPr="00160C88">
        <w:rPr>
          <w:rFonts w:asciiTheme="minorHAnsi" w:hAnsiTheme="minorHAnsi" w:cstheme="minorHAnsi"/>
          <w:bCs/>
          <w:noProof w:val="0"/>
          <w:sz w:val="24"/>
          <w:szCs w:val="24"/>
          <w:lang w:eastAsia="zh-CN"/>
        </w:rPr>
        <w:t>Chicago, US</w:t>
      </w:r>
      <w:r>
        <w:rPr>
          <w:rFonts w:asciiTheme="minorHAnsi" w:hAnsiTheme="minorHAnsi" w:cstheme="minorHAnsi"/>
          <w:bCs/>
          <w:noProof w:val="0"/>
          <w:sz w:val="24"/>
          <w:szCs w:val="24"/>
          <w:lang w:eastAsia="zh-CN"/>
        </w:rPr>
        <w:t>, Nov</w:t>
      </w:r>
      <w:r w:rsidR="00F41657">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13</w:t>
      </w:r>
      <w:r w:rsidR="00F41657">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Nov</w:t>
      </w:r>
      <w:r w:rsidR="00F41657">
        <w:rPr>
          <w:rFonts w:asciiTheme="minorHAnsi" w:hAnsiTheme="minorHAnsi" w:cstheme="minorHAnsi"/>
          <w:bCs/>
          <w:noProof w:val="0"/>
          <w:sz w:val="24"/>
          <w:szCs w:val="24"/>
          <w:lang w:eastAsia="zh-CN"/>
        </w:rPr>
        <w:t xml:space="preserve"> </w:t>
      </w:r>
      <w:r w:rsidR="001B20A3">
        <w:rPr>
          <w:rFonts w:asciiTheme="minorHAnsi" w:hAnsiTheme="minorHAnsi" w:cstheme="minorHAnsi"/>
          <w:bCs/>
          <w:noProof w:val="0"/>
          <w:sz w:val="24"/>
          <w:szCs w:val="24"/>
          <w:lang w:eastAsia="zh-CN"/>
        </w:rPr>
        <w:t>1</w:t>
      </w:r>
      <w:r>
        <w:rPr>
          <w:rFonts w:asciiTheme="minorHAnsi" w:hAnsiTheme="minorHAnsi" w:cstheme="minorHAnsi"/>
          <w:bCs/>
          <w:noProof w:val="0"/>
          <w:sz w:val="24"/>
          <w:szCs w:val="24"/>
          <w:lang w:eastAsia="zh-CN"/>
        </w:rPr>
        <w:t>7</w:t>
      </w:r>
      <w:r w:rsidR="00F41657">
        <w:rPr>
          <w:rFonts w:asciiTheme="minorHAnsi" w:hAnsiTheme="minorHAnsi" w:cstheme="minorHAnsi"/>
          <w:bCs/>
          <w:noProof w:val="0"/>
          <w:sz w:val="24"/>
          <w:szCs w:val="24"/>
          <w:lang w:eastAsia="zh-CN"/>
        </w:rPr>
        <w:t>, 2023</w:t>
      </w:r>
    </w:p>
    <w:bookmarkEnd w:id="0"/>
    <w:p w14:paraId="169FBA1C" w14:textId="24E1870E"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874657" w:rsidRPr="00874657">
        <w:rPr>
          <w:rFonts w:asciiTheme="minorHAnsi" w:eastAsiaTheme="minorEastAsia" w:hAnsiTheme="minorHAnsi" w:cstheme="minorHAnsi" w:hint="eastAsia"/>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w:t>
      </w:r>
      <w:r w:rsidR="00AD4E01">
        <w:rPr>
          <w:rFonts w:asciiTheme="minorHAnsi" w:eastAsiaTheme="minorEastAsia" w:hAnsiTheme="minorHAnsi" w:cstheme="minorHAnsi"/>
          <w:bCs/>
          <w:noProof w:val="0"/>
          <w:sz w:val="24"/>
          <w:szCs w:val="24"/>
          <w:lang w:eastAsia="zh-CN"/>
        </w:rPr>
        <w:t>7</w:t>
      </w:r>
      <w:r w:rsidR="00747957" w:rsidRPr="00410463">
        <w:rPr>
          <w:rFonts w:asciiTheme="minorHAnsi" w:eastAsiaTheme="minorEastAsia" w:hAnsiTheme="minorHAnsi" w:cstheme="minorHAnsi"/>
          <w:bCs/>
          <w:noProof w:val="0"/>
          <w:sz w:val="24"/>
          <w:szCs w:val="24"/>
          <w:lang w:eastAsia="zh-CN"/>
        </w:rPr>
        <w:t>.</w:t>
      </w:r>
      <w:r w:rsidR="00160C88">
        <w:rPr>
          <w:rFonts w:asciiTheme="minorHAnsi" w:eastAsiaTheme="minorEastAsia" w:hAnsiTheme="minorHAnsi" w:cstheme="minorHAnsi"/>
          <w:bCs/>
          <w:noProof w:val="0"/>
          <w:sz w:val="24"/>
          <w:szCs w:val="24"/>
          <w:lang w:eastAsia="zh-CN"/>
        </w:rPr>
        <w:t>2</w:t>
      </w:r>
      <w:r w:rsidR="007317FB">
        <w:rPr>
          <w:rFonts w:asciiTheme="minorHAnsi" w:eastAsiaTheme="minorEastAsia" w:hAnsiTheme="minorHAnsi" w:cstheme="minorHAnsi"/>
          <w:bCs/>
          <w:noProof w:val="0"/>
          <w:sz w:val="24"/>
          <w:szCs w:val="24"/>
          <w:lang w:eastAsia="zh-CN"/>
        </w:rPr>
        <w:t>.</w:t>
      </w:r>
      <w:r w:rsidR="00C5644E" w:rsidRPr="00C5644E">
        <w:rPr>
          <w:rFonts w:asciiTheme="minorHAnsi" w:eastAsiaTheme="minorEastAsia" w:hAnsiTheme="minorHAnsi" w:cstheme="minorHAnsi" w:hint="eastAsia"/>
          <w:bCs/>
          <w:noProof w:val="0"/>
          <w:sz w:val="24"/>
          <w:szCs w:val="24"/>
          <w:lang w:eastAsia="zh-CN"/>
        </w:rPr>
        <w:t>1</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7D2096D0"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 xml:space="preserve">Discussion on </w:t>
      </w:r>
      <w:r w:rsidR="008260DE">
        <w:rPr>
          <w:rFonts w:asciiTheme="minorHAnsi" w:eastAsiaTheme="minorEastAsia" w:hAnsiTheme="minorHAnsi" w:cstheme="minorHAnsi"/>
          <w:bCs/>
          <w:noProof w:val="0"/>
          <w:sz w:val="24"/>
          <w:szCs w:val="24"/>
          <w:lang w:eastAsia="zh-CN"/>
        </w:rPr>
        <w:t xml:space="preserve">UE </w:t>
      </w:r>
      <w:r w:rsidR="00B601A9">
        <w:rPr>
          <w:rFonts w:asciiTheme="minorHAnsi" w:eastAsiaTheme="minorEastAsia" w:hAnsiTheme="minorHAnsi" w:cstheme="minorHAnsi"/>
          <w:bCs/>
          <w:noProof w:val="0"/>
          <w:sz w:val="24"/>
          <w:szCs w:val="24"/>
          <w:lang w:eastAsia="zh-CN"/>
        </w:rPr>
        <w:t>feature list</w:t>
      </w:r>
      <w:r w:rsidR="00540E6A">
        <w:rPr>
          <w:rFonts w:asciiTheme="minorHAnsi" w:eastAsiaTheme="minorEastAsia" w:hAnsiTheme="minorHAnsi" w:cstheme="minorHAnsi"/>
          <w:bCs/>
          <w:noProof w:val="0"/>
          <w:sz w:val="24"/>
          <w:szCs w:val="24"/>
          <w:lang w:eastAsia="zh-CN"/>
        </w:rPr>
        <w:t xml:space="preserve"> 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7F8778D9" w:rsidR="0028162D" w:rsidRPr="007317FB" w:rsidRDefault="00185478" w:rsidP="006F6F58">
      <w:pPr>
        <w:jc w:val="both"/>
        <w:rPr>
          <w:rFonts w:eastAsia="新細明體" w:cstheme="minorHAnsi"/>
          <w:szCs w:val="24"/>
        </w:rPr>
      </w:pPr>
      <w:r>
        <w:rPr>
          <w:rFonts w:eastAsia="新細明體" w:cstheme="minorHAnsi"/>
          <w:szCs w:val="24"/>
        </w:rPr>
        <w:t xml:space="preserve">According to </w:t>
      </w:r>
      <w:r w:rsidR="000F505B">
        <w:rPr>
          <w:rFonts w:eastAsia="新細明體" w:cstheme="minorHAnsi"/>
          <w:szCs w:val="24"/>
        </w:rPr>
        <w:t>WF</w:t>
      </w:r>
      <w:r w:rsidR="005E3863">
        <w:rPr>
          <w:rFonts w:eastAsia="新細明體" w:cstheme="minorHAnsi"/>
          <w:szCs w:val="24"/>
        </w:rPr>
        <w:t xml:space="preserve"> [1]</w:t>
      </w:r>
      <w:r w:rsidRPr="003E20BE">
        <w:rPr>
          <w:rFonts w:eastAsia="新細明體" w:cstheme="minorHAnsi"/>
          <w:szCs w:val="24"/>
        </w:rPr>
        <w:t>,</w:t>
      </w:r>
      <w:r w:rsidR="004337EE">
        <w:rPr>
          <w:rFonts w:eastAsia="新細明體" w:cstheme="minorHAnsi"/>
          <w:szCs w:val="24"/>
        </w:rPr>
        <w:t xml:space="preserve"> there’s one </w:t>
      </w:r>
      <w:r w:rsidR="001928A6">
        <w:rPr>
          <w:rFonts w:eastAsia="新細明體" w:cstheme="minorHAnsi"/>
          <w:szCs w:val="24"/>
        </w:rPr>
        <w:t>issue</w:t>
      </w:r>
      <w:r w:rsidR="004337EE">
        <w:rPr>
          <w:rFonts w:eastAsia="新細明體" w:cstheme="minorHAnsi"/>
          <w:szCs w:val="24"/>
        </w:rPr>
        <w:t xml:space="preserve"> was</w:t>
      </w:r>
      <w:r w:rsidR="001928A6">
        <w:rPr>
          <w:rFonts w:eastAsia="新細明體" w:cstheme="minorHAnsi"/>
          <w:szCs w:val="24"/>
        </w:rPr>
        <w:t xml:space="preserve"> discussed without conclusion yet</w:t>
      </w:r>
      <w:r w:rsidR="008E23F6">
        <w:rPr>
          <w:rFonts w:eastAsia="新細明體" w:cstheme="minorHAnsi"/>
          <w:szCs w:val="24"/>
        </w:rPr>
        <w:t>.</w:t>
      </w:r>
      <w:bookmarkStart w:id="2" w:name="OLE_LINK30"/>
    </w:p>
    <w:bookmarkEnd w:id="2"/>
    <w:p w14:paraId="3CA86362" w14:textId="094EAC39"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2DE84656" w:rsidR="000B0F8D" w:rsidRDefault="000B0F8D" w:rsidP="00CA6C62">
      <w:pPr>
        <w:spacing w:before="100" w:beforeAutospacing="1" w:after="100" w:afterAutospacing="1"/>
        <w:jc w:val="both"/>
        <w:rPr>
          <w:rFonts w:eastAsia="新細明體"/>
          <w:szCs w:val="24"/>
          <w:lang w:val="en-GB"/>
        </w:rPr>
      </w:pPr>
      <w:r w:rsidRPr="00263720">
        <w:rPr>
          <w:rFonts w:eastAsia="新細明體"/>
          <w:szCs w:val="24"/>
          <w:lang w:val="en-GB"/>
        </w:rPr>
        <w:t xml:space="preserve">In the following section, below </w:t>
      </w:r>
      <w:r w:rsidR="00F14B49">
        <w:rPr>
          <w:rFonts w:eastAsia="新細明體"/>
          <w:szCs w:val="24"/>
          <w:lang w:val="en-GB"/>
        </w:rPr>
        <w:t>topic</w:t>
      </w:r>
      <w:r w:rsidRPr="00263720">
        <w:rPr>
          <w:rFonts w:eastAsia="新細明體"/>
          <w:szCs w:val="24"/>
          <w:lang w:val="en-GB"/>
        </w:rPr>
        <w:t xml:space="preserve"> </w:t>
      </w:r>
      <w:r w:rsidR="00BD447F">
        <w:rPr>
          <w:rFonts w:eastAsia="新細明體"/>
          <w:szCs w:val="24"/>
          <w:lang w:val="en-GB"/>
        </w:rPr>
        <w:t>is</w:t>
      </w:r>
      <w:r w:rsidRPr="00263720">
        <w:rPr>
          <w:rFonts w:eastAsia="新細明體"/>
          <w:szCs w:val="24"/>
          <w:lang w:val="en-GB"/>
        </w:rPr>
        <w:t xml:space="preserve"> discussed.</w:t>
      </w:r>
    </w:p>
    <w:p w14:paraId="06200671" w14:textId="1AB17CBD" w:rsidR="00CA6C62" w:rsidRPr="00CA6C62" w:rsidRDefault="00160C88" w:rsidP="00862331">
      <w:pPr>
        <w:pStyle w:val="ListParagraph"/>
        <w:numPr>
          <w:ilvl w:val="0"/>
          <w:numId w:val="8"/>
        </w:numPr>
        <w:spacing w:before="100" w:beforeAutospacing="1" w:after="100" w:afterAutospacing="1"/>
        <w:jc w:val="both"/>
        <w:rPr>
          <w:rFonts w:eastAsia="新細明體"/>
          <w:szCs w:val="24"/>
          <w:lang w:val="en-GB"/>
        </w:rPr>
      </w:pPr>
      <w:r>
        <w:rPr>
          <w:rFonts w:eastAsia="新細明體"/>
          <w:szCs w:val="24"/>
          <w:lang w:val="en-GB"/>
        </w:rPr>
        <w:t>UE feature list</w:t>
      </w:r>
    </w:p>
    <w:p w14:paraId="682BD9A8" w14:textId="77777777" w:rsidR="00CA6C62" w:rsidRPr="00CA6C62" w:rsidRDefault="00CA6C62" w:rsidP="00CA6C62">
      <w:pPr>
        <w:spacing w:before="100" w:beforeAutospacing="1" w:after="100" w:afterAutospacing="1"/>
        <w:jc w:val="both"/>
        <w:rPr>
          <w:rFonts w:eastAsia="新細明體"/>
          <w:szCs w:val="24"/>
          <w:lang w:val="en-GB"/>
        </w:rPr>
      </w:pPr>
    </w:p>
    <w:p w14:paraId="6C0F02D6" w14:textId="72AC11B9" w:rsidR="00A07637" w:rsidRPr="00160C88" w:rsidRDefault="00A07637" w:rsidP="00A07637">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337EE">
        <w:rPr>
          <w:rFonts w:asciiTheme="minorHAnsi" w:eastAsia="新細明體" w:hAnsiTheme="minorHAnsi" w:cstheme="minorHAnsi" w:hint="eastAsia"/>
          <w:szCs w:val="32"/>
          <w:lang w:eastAsia="zh-TW"/>
        </w:rPr>
        <w:t>1</w:t>
      </w:r>
      <w:r w:rsidRPr="00923E98">
        <w:rPr>
          <w:rFonts w:asciiTheme="minorHAnsi" w:hAnsiTheme="minorHAnsi" w:cstheme="minorHAnsi"/>
          <w:szCs w:val="32"/>
        </w:rPr>
        <w:t xml:space="preserve"> </w:t>
      </w:r>
      <w:r w:rsidRPr="00A07637">
        <w:rPr>
          <w:rFonts w:asciiTheme="minorHAnsi" w:eastAsia="新細明體" w:hAnsiTheme="minorHAnsi" w:cstheme="minorHAnsi"/>
          <w:szCs w:val="32"/>
          <w:lang w:eastAsia="zh-TW"/>
        </w:rPr>
        <w:t xml:space="preserve">UE </w:t>
      </w:r>
      <w:r w:rsidR="00160C88">
        <w:rPr>
          <w:rFonts w:asciiTheme="minorHAnsi" w:eastAsia="新細明體" w:hAnsiTheme="minorHAnsi" w:cstheme="minorHAnsi"/>
          <w:szCs w:val="32"/>
          <w:lang w:eastAsia="zh-TW"/>
        </w:rPr>
        <w:t>feature list</w:t>
      </w:r>
    </w:p>
    <w:p w14:paraId="47335D39" w14:textId="14BF6C31" w:rsidR="00AD4E01" w:rsidRPr="00DF14F3" w:rsidRDefault="009D32B1" w:rsidP="00AD4E01">
      <w:pPr>
        <w:spacing w:before="100" w:beforeAutospacing="1" w:after="100" w:afterAutospacing="1"/>
        <w:jc w:val="both"/>
        <w:rPr>
          <w:rFonts w:eastAsia="新細明體"/>
          <w:szCs w:val="24"/>
          <w:lang w:val="en-GB"/>
        </w:rPr>
      </w:pPr>
      <w:r>
        <w:rPr>
          <w:rFonts w:eastAsia="新細明體"/>
          <w:szCs w:val="24"/>
          <w:lang w:val="en-GB"/>
        </w:rPr>
        <w:t xml:space="preserve">In </w:t>
      </w:r>
      <w:r w:rsidR="002E39D7">
        <w:rPr>
          <w:rFonts w:eastAsia="新細明體"/>
          <w:szCs w:val="24"/>
          <w:lang w:val="en-GB"/>
        </w:rPr>
        <w:t xml:space="preserve">the following </w:t>
      </w:r>
      <w:r>
        <w:rPr>
          <w:rFonts w:eastAsia="新細明體"/>
          <w:szCs w:val="24"/>
          <w:lang w:val="en-GB"/>
        </w:rPr>
        <w:t>topic</w:t>
      </w:r>
      <w:r w:rsidR="002E39D7">
        <w:rPr>
          <w:rFonts w:eastAsia="新細明體"/>
          <w:szCs w:val="24"/>
          <w:lang w:val="en-GB"/>
        </w:rPr>
        <w:t>s</w:t>
      </w:r>
      <w:r>
        <w:rPr>
          <w:rFonts w:eastAsia="新細明體"/>
          <w:szCs w:val="24"/>
          <w:lang w:val="en-GB"/>
        </w:rPr>
        <w:t xml:space="preserve">, </w:t>
      </w:r>
      <w:r w:rsidR="00160C88">
        <w:rPr>
          <w:rFonts w:eastAsia="新細明體"/>
          <w:szCs w:val="24"/>
          <w:lang w:val="en-GB"/>
        </w:rPr>
        <w:t xml:space="preserve">the </w:t>
      </w:r>
      <w:r w:rsidR="002E39D7">
        <w:rPr>
          <w:rFonts w:eastAsia="新細明體"/>
          <w:szCs w:val="24"/>
          <w:lang w:val="en-GB"/>
        </w:rPr>
        <w:t xml:space="preserve">issues related to </w:t>
      </w:r>
      <w:r w:rsidR="00160C88">
        <w:rPr>
          <w:rFonts w:eastAsia="新細明體"/>
          <w:szCs w:val="24"/>
          <w:lang w:val="en-GB"/>
        </w:rPr>
        <w:t>UE feature list</w:t>
      </w:r>
      <w:r>
        <w:rPr>
          <w:rFonts w:eastAsia="新細明體"/>
          <w:szCs w:val="24"/>
          <w:lang w:val="en-GB"/>
        </w:rPr>
        <w:t xml:space="preserve"> </w:t>
      </w:r>
      <w:r w:rsidR="002E39D7">
        <w:rPr>
          <w:rFonts w:eastAsia="新細明體"/>
          <w:szCs w:val="24"/>
          <w:lang w:val="en-GB"/>
        </w:rPr>
        <w:t xml:space="preserve">are </w:t>
      </w:r>
      <w:r>
        <w:rPr>
          <w:rFonts w:eastAsia="新細明體"/>
          <w:szCs w:val="24"/>
          <w:lang w:val="en-GB"/>
        </w:rPr>
        <w:t xml:space="preserve">further </w:t>
      </w:r>
      <w:r w:rsidR="00160C88">
        <w:rPr>
          <w:rFonts w:eastAsia="新細明體"/>
          <w:szCs w:val="24"/>
          <w:lang w:val="en-GB"/>
        </w:rPr>
        <w:t>studied [1]</w:t>
      </w:r>
      <w:r>
        <w:rPr>
          <w:rFonts w:eastAsia="新細明體"/>
          <w:szCs w:val="24"/>
          <w:lang w:val="en-GB"/>
        </w:rPr>
        <w:t xml:space="preserve">. </w:t>
      </w:r>
    </w:p>
    <w:tbl>
      <w:tblPr>
        <w:tblStyle w:val="TableGrid"/>
        <w:tblW w:w="0" w:type="auto"/>
        <w:tblLook w:val="04A0" w:firstRow="1" w:lastRow="0" w:firstColumn="1" w:lastColumn="0" w:noHBand="0" w:noVBand="1"/>
      </w:tblPr>
      <w:tblGrid>
        <w:gridCol w:w="9629"/>
      </w:tblGrid>
      <w:tr w:rsidR="00AD4E01" w14:paraId="3C1B3898" w14:textId="77777777" w:rsidTr="000D544C">
        <w:tc>
          <w:tcPr>
            <w:tcW w:w="9629" w:type="dxa"/>
          </w:tcPr>
          <w:p w14:paraId="392083C5" w14:textId="5006BA58" w:rsidR="00160C88" w:rsidRDefault="00160C88" w:rsidP="00AD4E01">
            <w:pPr>
              <w:widowControl/>
              <w:spacing w:after="120"/>
              <w:textAlignment w:val="center"/>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1-4-4: UE capability for simultaneous reception with different QCL typeD for L1 measurements</w:t>
            </w:r>
          </w:p>
          <w:p w14:paraId="62786F85" w14:textId="77777777" w:rsidR="00160C88" w:rsidRPr="00160C88" w:rsidRDefault="00160C88" w:rsidP="00160C88">
            <w:pPr>
              <w:widowControl/>
              <w:numPr>
                <w:ilvl w:val="0"/>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Option 1:</w:t>
            </w:r>
          </w:p>
          <w:p w14:paraId="415B1A2E" w14:textId="77777777" w:rsidR="00160C88" w:rsidRPr="00160C88" w:rsidRDefault="00160C88" w:rsidP="00160C88">
            <w:pPr>
              <w:widowControl/>
              <w:numPr>
                <w:ilvl w:val="1"/>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 xml:space="preserve">A new UE capability of supporting simultaneous reception of RS and data from different directions with different QCL type D RSs for enhanced L1 measurements for multi-Rx is introduced. </w:t>
            </w:r>
          </w:p>
          <w:p w14:paraId="5F0840E2" w14:textId="77777777" w:rsidR="00160C88" w:rsidRPr="00160C88" w:rsidRDefault="00160C88" w:rsidP="00160C88">
            <w:pPr>
              <w:widowControl/>
              <w:numPr>
                <w:ilvl w:val="1"/>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A new UE capability of supporting simultaneous reception of RS and RS from different directions with different QCL type D RSs for enhanced L1 measurements for multi-Rx is introduced, if measurement restriction is enhanced for multi-Rx.</w:t>
            </w:r>
          </w:p>
          <w:p w14:paraId="5AAE06B3" w14:textId="77777777" w:rsidR="00160C88" w:rsidRPr="00160C88" w:rsidRDefault="00160C88" w:rsidP="00160C88">
            <w:pPr>
              <w:widowControl/>
              <w:numPr>
                <w:ilvl w:val="0"/>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Option 2:</w:t>
            </w:r>
          </w:p>
          <w:p w14:paraId="6143F0BE" w14:textId="77777777" w:rsidR="00160C88" w:rsidRPr="00160C88" w:rsidRDefault="00160C88" w:rsidP="00160C88">
            <w:pPr>
              <w:widowControl/>
              <w:numPr>
                <w:ilvl w:val="1"/>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To support Rel-18 multi-Rx DL simultaneous reception modes, an additional UE capability needs to be defined.</w:t>
            </w:r>
          </w:p>
          <w:p w14:paraId="0677A290" w14:textId="77777777" w:rsidR="00160C88" w:rsidRPr="00160C88" w:rsidRDefault="00160C88" w:rsidP="00160C88">
            <w:pPr>
              <w:widowControl/>
              <w:numPr>
                <w:ilvl w:val="0"/>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 xml:space="preserve">Option 3: </w:t>
            </w:r>
          </w:p>
          <w:p w14:paraId="36A41341" w14:textId="77777777" w:rsidR="00160C88" w:rsidRPr="00160C88" w:rsidRDefault="00160C88" w:rsidP="00160C88">
            <w:pPr>
              <w:widowControl/>
              <w:numPr>
                <w:ilvl w:val="1"/>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specify UE capability to indicate whether the UE can support simultaneous reception of data and L1 measurement</w:t>
            </w:r>
          </w:p>
          <w:p w14:paraId="4F836D25" w14:textId="77777777" w:rsidR="00160C88" w:rsidRPr="00160C88" w:rsidRDefault="00160C88" w:rsidP="00160C88">
            <w:pPr>
              <w:widowControl/>
              <w:numPr>
                <w:ilvl w:val="0"/>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highlight w:val="green"/>
                <w:lang w:val="en-GB"/>
              </w:rPr>
              <w:t>Option 4:</w:t>
            </w:r>
          </w:p>
          <w:p w14:paraId="7FFEF7AF" w14:textId="77777777" w:rsidR="00160C88" w:rsidRPr="00160C88" w:rsidRDefault="00160C88" w:rsidP="00160C88">
            <w:pPr>
              <w:widowControl/>
              <w:numPr>
                <w:ilvl w:val="1"/>
                <w:numId w:val="41"/>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highlight w:val="green"/>
                <w:lang w:val="en-GB"/>
              </w:rPr>
              <w:t>No need to define new additional UE capability to support simultaneous reception of RS+data or RS+RS.</w:t>
            </w:r>
          </w:p>
          <w:p w14:paraId="2D279BCF" w14:textId="7B2564B3" w:rsidR="00160C88" w:rsidRDefault="00160C88" w:rsidP="00AD4E01">
            <w:pPr>
              <w:widowControl/>
              <w:spacing w:after="120"/>
              <w:textAlignment w:val="center"/>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1-4-6: UE feature list</w:t>
            </w:r>
          </w:p>
          <w:p w14:paraId="7CC6EDAA" w14:textId="77777777" w:rsidR="00160C88" w:rsidRPr="00160C88" w:rsidRDefault="00160C88" w:rsidP="00160C88">
            <w:pPr>
              <w:widowControl/>
              <w:numPr>
                <w:ilvl w:val="0"/>
                <w:numId w:val="42"/>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Option 1:</w:t>
            </w:r>
          </w:p>
          <w:p w14:paraId="76987DD4" w14:textId="77777777" w:rsidR="00160C88" w:rsidRPr="00160C88" w:rsidRDefault="00160C88" w:rsidP="00160C88">
            <w:pPr>
              <w:widowControl/>
              <w:numPr>
                <w:ilvl w:val="1"/>
                <w:numId w:val="42"/>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UE feature for Rel-18 FR2 multi-Rx DL reception is as in Table 1 for NR_FR2_multiRX_DL.</w:t>
            </w:r>
          </w:p>
          <w:p w14:paraId="7EADFA93" w14:textId="2651268A" w:rsidR="00160C88" w:rsidRPr="00160C88" w:rsidRDefault="00160C88" w:rsidP="00160C88">
            <w:pPr>
              <w:widowControl/>
              <w:numPr>
                <w:ilvl w:val="0"/>
                <w:numId w:val="42"/>
              </w:numPr>
              <w:spacing w:after="120"/>
              <w:textAlignment w:val="center"/>
              <w:rPr>
                <w:rFonts w:ascii="Calibri" w:eastAsia="新細明體" w:hAnsi="Calibri" w:cs="Calibri"/>
                <w:kern w:val="0"/>
                <w:sz w:val="22"/>
                <w:lang w:val="en-GB"/>
              </w:rPr>
            </w:pPr>
            <w:r w:rsidRPr="00160C88">
              <w:rPr>
                <w:rFonts w:ascii="Times New Roman" w:eastAsia="新細明體" w:hAnsi="Times New Roman" w:cs="Times New Roman"/>
                <w:color w:val="000000"/>
                <w:kern w:val="0"/>
                <w:sz w:val="20"/>
                <w:szCs w:val="20"/>
                <w:lang w:val="en-GB"/>
              </w:rPr>
              <w:t>Other options are not precluded</w:t>
            </w:r>
            <w:r w:rsidR="00AD4E01" w:rsidRPr="00160C88">
              <w:rPr>
                <w:rFonts w:ascii="Times New Roman" w:eastAsia="新細明體" w:hAnsi="Times New Roman" w:cs="Times New Roman"/>
                <w:kern w:val="0"/>
                <w:sz w:val="20"/>
                <w:szCs w:val="20"/>
                <w:lang w:val="en-GB"/>
              </w:rPr>
              <w:t>.</w:t>
            </w:r>
          </w:p>
          <w:p w14:paraId="12404AE3" w14:textId="50610E0C" w:rsidR="00160C88" w:rsidRDefault="00160C88" w:rsidP="00160C88">
            <w:pPr>
              <w:widowControl/>
              <w:spacing w:after="120"/>
              <w:textAlignment w:val="center"/>
              <w:rPr>
                <w:rFonts w:ascii="Times New Roman" w:eastAsia="新細明體" w:hAnsi="Times New Roman" w:cs="Times New Roman"/>
                <w:kern w:val="0"/>
                <w:sz w:val="20"/>
                <w:lang w:val="en-GB"/>
              </w:rPr>
            </w:pPr>
          </w:p>
          <w:p w14:paraId="3664B289" w14:textId="77777777" w:rsidR="00160C88" w:rsidRPr="00160C88" w:rsidRDefault="00160C88" w:rsidP="00160C88">
            <w:pPr>
              <w:widowControl/>
              <w:spacing w:after="120"/>
              <w:textAlignment w:val="center"/>
              <w:rPr>
                <w:rFonts w:ascii="Calibri" w:eastAsia="新細明體" w:hAnsi="Calibri" w:cs="Calibri"/>
                <w:kern w:val="0"/>
                <w:sz w:val="22"/>
                <w:lang w:val="en-GB"/>
              </w:rPr>
            </w:pPr>
          </w:p>
          <w:p w14:paraId="0F5A9E05" w14:textId="1160454E" w:rsidR="00160C88" w:rsidRDefault="00160C88" w:rsidP="00160C88">
            <w:pPr>
              <w:widowControl/>
              <w:spacing w:after="120"/>
              <w:jc w:val="center"/>
              <w:textAlignment w:val="center"/>
              <w:rPr>
                <w:rFonts w:eastAsia="新細明體"/>
                <w:noProof/>
              </w:rPr>
            </w:pPr>
            <w:r>
              <w:rPr>
                <w:rFonts w:eastAsia="新細明體" w:hint="eastAsia"/>
                <w:noProof/>
              </w:rPr>
              <w:lastRenderedPageBreak/>
              <w:t>T</w:t>
            </w:r>
            <w:r>
              <w:rPr>
                <w:rFonts w:eastAsia="新細明體"/>
                <w:noProof/>
              </w:rPr>
              <w:t xml:space="preserve">able 1 </w:t>
            </w:r>
            <w:r>
              <w:rPr>
                <w:rFonts w:eastAsia="新細明體" w:cstheme="minorHAnsi"/>
                <w:szCs w:val="24"/>
              </w:rPr>
              <w:t>UE feature list.</w:t>
            </w:r>
          </w:p>
          <w:p w14:paraId="0F7CA6E4" w14:textId="299C27D7" w:rsidR="00160C88" w:rsidRPr="00160C88" w:rsidRDefault="00160C88" w:rsidP="00160C88">
            <w:pPr>
              <w:widowControl/>
              <w:spacing w:after="120"/>
              <w:textAlignment w:val="center"/>
              <w:rPr>
                <w:rFonts w:ascii="Calibri" w:eastAsia="新細明體" w:hAnsi="Calibri" w:cs="Calibri"/>
                <w:kern w:val="0"/>
                <w:sz w:val="22"/>
                <w:lang w:val="en-GB"/>
              </w:rPr>
            </w:pPr>
            <w:r>
              <w:rPr>
                <w:noProof/>
              </w:rPr>
              <w:drawing>
                <wp:inline distT="0" distB="0" distL="0" distR="0" wp14:anchorId="1C79079C" wp14:editId="73F1A2E1">
                  <wp:extent cx="6037142" cy="1879600"/>
                  <wp:effectExtent l="0" t="0" r="1905"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46271" cy="1882442"/>
                          </a:xfrm>
                          <a:prstGeom prst="rect">
                            <a:avLst/>
                          </a:prstGeom>
                        </pic:spPr>
                      </pic:pic>
                    </a:graphicData>
                  </a:graphic>
                </wp:inline>
              </w:drawing>
            </w:r>
          </w:p>
        </w:tc>
      </w:tr>
    </w:tbl>
    <w:p w14:paraId="78868449" w14:textId="38F58626" w:rsidR="00160C88" w:rsidRDefault="00160C88" w:rsidP="00160C88">
      <w:pPr>
        <w:widowControl/>
        <w:spacing w:after="120"/>
        <w:textAlignment w:val="center"/>
        <w:rPr>
          <w:rFonts w:eastAsia="新細明體"/>
          <w:szCs w:val="24"/>
          <w:lang w:val="en-GB"/>
        </w:rPr>
      </w:pPr>
      <w:bookmarkStart w:id="3" w:name="_Ref131708778"/>
      <w:r w:rsidRPr="00160C88">
        <w:rPr>
          <w:rFonts w:eastAsia="新細明體" w:hint="eastAsia"/>
          <w:szCs w:val="24"/>
          <w:lang w:val="en-GB"/>
        </w:rPr>
        <w:lastRenderedPageBreak/>
        <w:t>F</w:t>
      </w:r>
      <w:r w:rsidRPr="00160C88">
        <w:rPr>
          <w:rFonts w:eastAsia="新細明體"/>
          <w:szCs w:val="24"/>
          <w:lang w:val="en-GB"/>
        </w:rPr>
        <w:t xml:space="preserve">or </w:t>
      </w:r>
      <w:r>
        <w:rPr>
          <w:rFonts w:eastAsia="新細明體"/>
          <w:szCs w:val="24"/>
          <w:lang w:val="en-GB"/>
        </w:rPr>
        <w:t xml:space="preserve">issue1-4-4, in our understanding, RAN4 already specified some conditions for the relaxation of scheduling/measurement restriction. E.g., the following conditions is for the relaxation of scheduling restriction. </w:t>
      </w:r>
    </w:p>
    <w:p w14:paraId="1047274E" w14:textId="77777777" w:rsidR="00160C88" w:rsidRPr="00160C88" w:rsidRDefault="00160C88" w:rsidP="00160C88">
      <w:pPr>
        <w:widowControl/>
        <w:numPr>
          <w:ilvl w:val="0"/>
          <w:numId w:val="44"/>
        </w:numPr>
        <w:spacing w:after="120"/>
        <w:textAlignment w:val="center"/>
        <w:rPr>
          <w:rFonts w:eastAsia="新細明體"/>
          <w:szCs w:val="24"/>
          <w:lang w:val="en-GB" w:eastAsia="en-US"/>
        </w:rPr>
      </w:pPr>
      <w:r w:rsidRPr="00160C88">
        <w:rPr>
          <w:rFonts w:eastAsia="新細明體"/>
          <w:szCs w:val="24"/>
          <w:lang w:val="en-GB" w:eastAsia="en-US"/>
        </w:rPr>
        <w:t>The CSI-RS is not in a CSI-RS resource set with repetition ON.</w:t>
      </w:r>
    </w:p>
    <w:p w14:paraId="14BB9422" w14:textId="77777777" w:rsidR="00160C88" w:rsidRPr="00160C88" w:rsidRDefault="00160C88" w:rsidP="00160C88">
      <w:pPr>
        <w:widowControl/>
        <w:numPr>
          <w:ilvl w:val="0"/>
          <w:numId w:val="44"/>
        </w:numPr>
        <w:spacing w:after="120"/>
        <w:textAlignment w:val="center"/>
        <w:rPr>
          <w:rFonts w:eastAsia="新細明體"/>
          <w:szCs w:val="24"/>
          <w:lang w:val="en-GB" w:eastAsia="en-US"/>
        </w:rPr>
      </w:pPr>
      <w:r w:rsidRPr="00160C88">
        <w:rPr>
          <w:rFonts w:eastAsia="新細明體"/>
          <w:szCs w:val="24"/>
          <w:lang w:val="en-GB" w:eastAsia="en-US"/>
        </w:rPr>
        <w:t>The CSI-RS has same QCL source as the active TCI state of one of the PDSCHs and has different QCL-TypeD from the other PDSCH.</w:t>
      </w:r>
    </w:p>
    <w:p w14:paraId="7B2EAA0D" w14:textId="77777777" w:rsidR="00160C88" w:rsidRPr="00160C88" w:rsidRDefault="00160C88" w:rsidP="00160C88">
      <w:pPr>
        <w:widowControl/>
        <w:numPr>
          <w:ilvl w:val="0"/>
          <w:numId w:val="44"/>
        </w:numPr>
        <w:spacing w:after="120"/>
        <w:textAlignment w:val="center"/>
        <w:rPr>
          <w:rFonts w:eastAsia="新細明體"/>
          <w:szCs w:val="24"/>
          <w:lang w:val="en-GB" w:eastAsia="en-US"/>
        </w:rPr>
      </w:pPr>
      <w:r w:rsidRPr="00160C88">
        <w:rPr>
          <w:rFonts w:eastAsia="新細明體"/>
          <w:szCs w:val="24"/>
          <w:lang w:val="en-GB" w:eastAsia="en-US"/>
        </w:rPr>
        <w:t>The CSI-RS and both of the PDSCHs are on the same OFDM symbol(s).</w:t>
      </w:r>
    </w:p>
    <w:p w14:paraId="483E9C6C" w14:textId="77777777" w:rsidR="00160C88" w:rsidRPr="00160C88" w:rsidRDefault="00160C88" w:rsidP="00160C88">
      <w:pPr>
        <w:widowControl/>
        <w:numPr>
          <w:ilvl w:val="1"/>
          <w:numId w:val="44"/>
        </w:numPr>
        <w:spacing w:after="120"/>
        <w:textAlignment w:val="center"/>
        <w:rPr>
          <w:rFonts w:eastAsia="新細明體"/>
          <w:szCs w:val="24"/>
          <w:lang w:val="en-GB" w:eastAsia="en-US"/>
        </w:rPr>
      </w:pPr>
      <w:r w:rsidRPr="00160C88">
        <w:rPr>
          <w:rFonts w:eastAsia="新細明體"/>
          <w:szCs w:val="24"/>
          <w:lang w:val="en-GB" w:eastAsia="en-US"/>
        </w:rPr>
        <w:t>FFS: The CSI-RS and only one of the PDSCHs with different QCLed typeD are on the same OFDM symbol(s)</w:t>
      </w:r>
    </w:p>
    <w:p w14:paraId="2503C410" w14:textId="77777777" w:rsidR="00160C88" w:rsidRPr="00160C88" w:rsidRDefault="00160C88" w:rsidP="00160C88">
      <w:pPr>
        <w:widowControl/>
        <w:numPr>
          <w:ilvl w:val="0"/>
          <w:numId w:val="44"/>
        </w:numPr>
        <w:spacing w:after="120"/>
        <w:textAlignment w:val="center"/>
        <w:rPr>
          <w:rFonts w:eastAsia="新細明體"/>
          <w:szCs w:val="24"/>
          <w:lang w:val="en-GB" w:eastAsia="en-US"/>
        </w:rPr>
      </w:pPr>
      <w:r w:rsidRPr="00160C88">
        <w:rPr>
          <w:rFonts w:eastAsia="新細明體"/>
          <w:szCs w:val="24"/>
          <w:lang w:val="en-GB" w:eastAsia="en-US"/>
        </w:rPr>
        <w:t>Resources of the active TCI states for the two PDSCHs have been reported as a resource group in Rel-17 group-based RSRP report.</w:t>
      </w:r>
    </w:p>
    <w:p w14:paraId="6F37CE5D" w14:textId="715343AA" w:rsidR="00160C88" w:rsidRPr="00160C88" w:rsidRDefault="00160C88" w:rsidP="00160C88">
      <w:pPr>
        <w:widowControl/>
        <w:numPr>
          <w:ilvl w:val="0"/>
          <w:numId w:val="44"/>
        </w:numPr>
        <w:spacing w:after="120"/>
        <w:textAlignment w:val="center"/>
        <w:rPr>
          <w:rFonts w:eastAsia="新細明體"/>
          <w:szCs w:val="24"/>
          <w:lang w:val="en-GB" w:eastAsia="en-US"/>
        </w:rPr>
      </w:pPr>
      <w:r w:rsidRPr="00160C88">
        <w:rPr>
          <w:rFonts w:eastAsia="新細明體"/>
          <w:szCs w:val="24"/>
          <w:lang w:val="en-GB" w:eastAsia="en-US"/>
        </w:rPr>
        <w:t>[FFS how to capture UE is activated with multi-Rx operation]</w:t>
      </w:r>
    </w:p>
    <w:p w14:paraId="47F2D6B0" w14:textId="566BB78E" w:rsidR="00160C88" w:rsidRDefault="00160C88" w:rsidP="00160C88">
      <w:pPr>
        <w:widowControl/>
        <w:spacing w:after="120"/>
        <w:textAlignment w:val="center"/>
        <w:rPr>
          <w:rFonts w:eastAsia="新細明體"/>
          <w:szCs w:val="24"/>
          <w:lang w:val="en-GB"/>
        </w:rPr>
      </w:pPr>
      <w:r>
        <w:rPr>
          <w:rFonts w:eastAsia="新細明體"/>
          <w:szCs w:val="24"/>
          <w:lang w:val="en-GB"/>
        </w:rPr>
        <w:t>We don’t see the reason to specify the capability for each requirement like X-1 (</w:t>
      </w:r>
      <w:r w:rsidR="00060D78">
        <w:rPr>
          <w:rFonts w:eastAsia="新細明體"/>
          <w:szCs w:val="24"/>
          <w:lang w:val="en-GB"/>
        </w:rPr>
        <w:t xml:space="preserve">capability for the </w:t>
      </w:r>
      <w:r>
        <w:rPr>
          <w:rFonts w:eastAsia="新細明體"/>
          <w:szCs w:val="24"/>
          <w:lang w:val="en-GB"/>
        </w:rPr>
        <w:t>relaxation</w:t>
      </w:r>
      <w:r w:rsidR="00060D78">
        <w:rPr>
          <w:rFonts w:eastAsia="新細明體"/>
          <w:szCs w:val="24"/>
          <w:lang w:val="en-GB"/>
        </w:rPr>
        <w:t xml:space="preserve"> of </w:t>
      </w:r>
      <w:r>
        <w:rPr>
          <w:rFonts w:eastAsia="新細明體"/>
          <w:szCs w:val="24"/>
          <w:lang w:val="en-GB"/>
        </w:rPr>
        <w:t>scheduling restriction), X-2 (</w:t>
      </w:r>
      <w:r w:rsidR="00060D78">
        <w:rPr>
          <w:rFonts w:eastAsia="新細明體"/>
          <w:szCs w:val="24"/>
          <w:lang w:val="en-GB"/>
        </w:rPr>
        <w:t xml:space="preserve">capability for the </w:t>
      </w:r>
      <w:r>
        <w:rPr>
          <w:rFonts w:eastAsia="新細明體"/>
          <w:szCs w:val="24"/>
          <w:lang w:val="en-GB"/>
        </w:rPr>
        <w:t xml:space="preserve">relaxation </w:t>
      </w:r>
      <w:r w:rsidR="00060D78">
        <w:rPr>
          <w:rFonts w:eastAsia="新細明體"/>
          <w:szCs w:val="24"/>
          <w:lang w:val="en-GB"/>
        </w:rPr>
        <w:t xml:space="preserve">of </w:t>
      </w:r>
      <w:r>
        <w:rPr>
          <w:rFonts w:eastAsia="新細明體"/>
          <w:szCs w:val="24"/>
          <w:lang w:val="en-GB"/>
        </w:rPr>
        <w:t>measurement restriction) mentioned in Table 1. In addition,</w:t>
      </w:r>
      <w:r w:rsidR="00060D78">
        <w:rPr>
          <w:rFonts w:eastAsia="新細明體"/>
          <w:szCs w:val="24"/>
          <w:lang w:val="en-GB"/>
        </w:rPr>
        <w:t xml:space="preserve"> </w:t>
      </w:r>
      <w:r>
        <w:rPr>
          <w:rFonts w:eastAsia="新細明體"/>
          <w:szCs w:val="24"/>
          <w:lang w:val="en-GB"/>
        </w:rPr>
        <w:t xml:space="preserve">dual TCI states switch </w:t>
      </w:r>
      <w:r w:rsidR="00060D78">
        <w:rPr>
          <w:rFonts w:eastAsia="新細明體"/>
          <w:szCs w:val="24"/>
          <w:lang w:val="en-GB"/>
        </w:rPr>
        <w:t xml:space="preserve">requirement should also be considered since this is new UE behaviour </w:t>
      </w:r>
      <w:r>
        <w:rPr>
          <w:rFonts w:eastAsia="新細明體"/>
          <w:szCs w:val="24"/>
          <w:lang w:val="en-GB"/>
        </w:rPr>
        <w:t xml:space="preserve">for multi-RX operation. Therefore, we suggest to defined single UE capability (30-1 in Table 2) to represent </w:t>
      </w:r>
      <w:r w:rsidR="00060D78">
        <w:rPr>
          <w:rFonts w:eastAsia="新細明體"/>
          <w:szCs w:val="24"/>
          <w:lang w:val="en-GB"/>
        </w:rPr>
        <w:t xml:space="preserve">each RRM </w:t>
      </w:r>
      <w:r>
        <w:rPr>
          <w:rFonts w:eastAsia="新細明體"/>
          <w:szCs w:val="24"/>
          <w:lang w:val="en-GB"/>
        </w:rPr>
        <w:t>requirement of multi-RX operation</w:t>
      </w:r>
      <w:r>
        <w:rPr>
          <w:rFonts w:eastAsia="新細明體" w:hint="eastAsia"/>
          <w:szCs w:val="24"/>
          <w:lang w:val="en-GB"/>
        </w:rPr>
        <w:t>.</w:t>
      </w:r>
      <w:r>
        <w:rPr>
          <w:rFonts w:eastAsia="新細明體"/>
          <w:szCs w:val="24"/>
          <w:lang w:val="en-GB"/>
        </w:rPr>
        <w:t xml:space="preserve"> With this </w:t>
      </w:r>
      <w:r w:rsidRPr="00160C88">
        <w:rPr>
          <w:rFonts w:eastAsia="新細明體"/>
          <w:szCs w:val="24"/>
          <w:lang w:val="en-GB"/>
        </w:rPr>
        <w:t>UE capability</w:t>
      </w:r>
      <w:r>
        <w:rPr>
          <w:rFonts w:eastAsia="新細明體"/>
          <w:szCs w:val="24"/>
          <w:lang w:val="en-GB"/>
        </w:rPr>
        <w:t xml:space="preserve">, it means UE support the multi-RX </w:t>
      </w:r>
      <w:r>
        <w:rPr>
          <w:rFonts w:eastAsia="新細明體" w:hint="eastAsia"/>
          <w:szCs w:val="24"/>
          <w:lang w:val="en-GB"/>
        </w:rPr>
        <w:t>f</w:t>
      </w:r>
      <w:r>
        <w:rPr>
          <w:rFonts w:eastAsia="新細明體"/>
          <w:szCs w:val="24"/>
          <w:lang w:val="en-GB"/>
        </w:rPr>
        <w:t xml:space="preserve">eature, so that it can check more details in each </w:t>
      </w:r>
      <w:r w:rsidR="00060D78">
        <w:rPr>
          <w:rFonts w:eastAsia="新細明體"/>
          <w:szCs w:val="24"/>
          <w:lang w:val="en-GB"/>
        </w:rPr>
        <w:t xml:space="preserve">RRM </w:t>
      </w:r>
      <w:r>
        <w:rPr>
          <w:rFonts w:eastAsia="新細明體"/>
          <w:szCs w:val="24"/>
          <w:lang w:val="en-GB"/>
        </w:rPr>
        <w:t>requirement to see whether UE is allowed to have some enhancement on corresponding requirement (E.g., the relaxation of scheduling/measurement restriction, dual TCI stats switch requirement).</w:t>
      </w:r>
    </w:p>
    <w:p w14:paraId="42554C87" w14:textId="14C5EEF4" w:rsidR="00160C88" w:rsidRPr="00160C88" w:rsidRDefault="00160C88" w:rsidP="00160C88">
      <w:pPr>
        <w:spacing w:beforeLines="50" w:before="120"/>
        <w:jc w:val="both"/>
        <w:rPr>
          <w:b/>
          <w:szCs w:val="24"/>
        </w:rPr>
      </w:pPr>
      <w:bookmarkStart w:id="4" w:name="_Ref149062250"/>
      <w:r w:rsidRPr="004337EE">
        <w:rPr>
          <w:b/>
          <w:szCs w:val="24"/>
        </w:rPr>
        <w:t xml:space="preserve">Proposal </w:t>
      </w:r>
      <w:r w:rsidRPr="004337EE">
        <w:rPr>
          <w:b/>
          <w:szCs w:val="24"/>
        </w:rPr>
        <w:fldChar w:fldCharType="begin"/>
      </w:r>
      <w:r w:rsidRPr="004337EE">
        <w:rPr>
          <w:b/>
          <w:szCs w:val="24"/>
        </w:rPr>
        <w:instrText xml:space="preserve"> SEQ Proposal \* ARABIC </w:instrText>
      </w:r>
      <w:r w:rsidRPr="004337EE">
        <w:rPr>
          <w:b/>
          <w:szCs w:val="24"/>
        </w:rPr>
        <w:fldChar w:fldCharType="separate"/>
      </w:r>
      <w:r w:rsidR="00BF1B0A">
        <w:rPr>
          <w:b/>
          <w:noProof/>
          <w:szCs w:val="24"/>
        </w:rPr>
        <w:t>1</w:t>
      </w:r>
      <w:r w:rsidRPr="004337EE">
        <w:rPr>
          <w:b/>
          <w:szCs w:val="24"/>
        </w:rPr>
        <w:fldChar w:fldCharType="end"/>
      </w:r>
      <w:r w:rsidRPr="004337EE">
        <w:rPr>
          <w:b/>
          <w:szCs w:val="24"/>
        </w:rPr>
        <w:t xml:space="preserve">: </w:t>
      </w:r>
      <w:r w:rsidR="00C25FB6">
        <w:rPr>
          <w:b/>
          <w:szCs w:val="24"/>
        </w:rPr>
        <w:t>S</w:t>
      </w:r>
      <w:r w:rsidRPr="00160C88">
        <w:rPr>
          <w:b/>
          <w:szCs w:val="24"/>
        </w:rPr>
        <w:t xml:space="preserve">cheduling/measurement restriction and dual TCI state switch </w:t>
      </w:r>
      <w:r>
        <w:rPr>
          <w:b/>
          <w:szCs w:val="24"/>
        </w:rPr>
        <w:t>are m</w:t>
      </w:r>
      <w:r w:rsidRPr="00160C88">
        <w:rPr>
          <w:b/>
          <w:szCs w:val="24"/>
        </w:rPr>
        <w:t>erge</w:t>
      </w:r>
      <w:r>
        <w:rPr>
          <w:b/>
          <w:szCs w:val="24"/>
        </w:rPr>
        <w:t>d</w:t>
      </w:r>
      <w:r w:rsidRPr="00160C88">
        <w:rPr>
          <w:b/>
          <w:szCs w:val="24"/>
        </w:rPr>
        <w:t xml:space="preserve"> into </w:t>
      </w:r>
      <w:r w:rsidR="00AD77A0">
        <w:rPr>
          <w:b/>
          <w:szCs w:val="24"/>
        </w:rPr>
        <w:t xml:space="preserve">a </w:t>
      </w:r>
      <w:r w:rsidRPr="00160C88">
        <w:rPr>
          <w:b/>
          <w:szCs w:val="24"/>
        </w:rPr>
        <w:t>single FG</w:t>
      </w:r>
      <w:r>
        <w:rPr>
          <w:b/>
          <w:szCs w:val="24"/>
        </w:rPr>
        <w:t>.</w:t>
      </w:r>
      <w:bookmarkEnd w:id="4"/>
    </w:p>
    <w:p w14:paraId="1E254998" w14:textId="2BE5FD76" w:rsidR="00160C88" w:rsidRDefault="00160C88" w:rsidP="00160C88">
      <w:pPr>
        <w:spacing w:beforeLines="50" w:before="120" w:after="100" w:afterAutospacing="1"/>
        <w:jc w:val="center"/>
        <w:rPr>
          <w:rFonts w:eastAsia="新細明體" w:cstheme="minorHAnsi"/>
          <w:szCs w:val="24"/>
        </w:rPr>
      </w:pPr>
      <w:r>
        <w:rPr>
          <w:rFonts w:eastAsia="新細明體" w:cstheme="minorHAnsi" w:hint="eastAsia"/>
          <w:szCs w:val="24"/>
        </w:rPr>
        <w:t>T</w:t>
      </w:r>
      <w:r>
        <w:rPr>
          <w:rFonts w:eastAsia="新細明體" w:cstheme="minorHAnsi"/>
          <w:szCs w:val="24"/>
        </w:rPr>
        <w:t>able 2 Updated UE feature list.</w:t>
      </w:r>
    </w:p>
    <w:tbl>
      <w:tblPr>
        <w:tblW w:w="11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7"/>
        <w:gridCol w:w="850"/>
        <w:gridCol w:w="2036"/>
        <w:gridCol w:w="850"/>
        <w:gridCol w:w="915"/>
        <w:gridCol w:w="680"/>
        <w:gridCol w:w="1081"/>
        <w:gridCol w:w="516"/>
        <w:gridCol w:w="680"/>
        <w:gridCol w:w="688"/>
        <w:gridCol w:w="964"/>
        <w:gridCol w:w="849"/>
        <w:gridCol w:w="776"/>
      </w:tblGrid>
      <w:tr w:rsidR="00E732EB" w:rsidRPr="00E732EB" w14:paraId="4EE65EF4" w14:textId="77777777" w:rsidTr="00FB4797">
        <w:trPr>
          <w:trHeight w:val="20"/>
          <w:jc w:val="center"/>
        </w:trPr>
        <w:tc>
          <w:tcPr>
            <w:tcW w:w="587" w:type="dxa"/>
            <w:shd w:val="clear" w:color="auto" w:fill="auto"/>
          </w:tcPr>
          <w:p w14:paraId="093216B5"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lastRenderedPageBreak/>
              <w:t>Index</w:t>
            </w:r>
          </w:p>
        </w:tc>
        <w:tc>
          <w:tcPr>
            <w:tcW w:w="850" w:type="dxa"/>
            <w:shd w:val="clear" w:color="auto" w:fill="auto"/>
          </w:tcPr>
          <w:p w14:paraId="619DDBF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Feature group</w:t>
            </w:r>
          </w:p>
        </w:tc>
        <w:tc>
          <w:tcPr>
            <w:tcW w:w="2036" w:type="dxa"/>
            <w:shd w:val="clear" w:color="auto" w:fill="auto"/>
          </w:tcPr>
          <w:p w14:paraId="000BA39E" w14:textId="77777777" w:rsidR="002E39D7" w:rsidRPr="00FB4797" w:rsidRDefault="002E39D7" w:rsidP="00873521">
            <w:pPr>
              <w:pStyle w:val="TAH"/>
              <w:rPr>
                <w:rFonts w:cs="Arial"/>
                <w:color w:val="000000" w:themeColor="text1"/>
                <w:sz w:val="12"/>
                <w:szCs w:val="14"/>
                <w:lang w:eastAsia="zh-CN"/>
              </w:rPr>
            </w:pPr>
            <w:r w:rsidRPr="00FB4797">
              <w:rPr>
                <w:rFonts w:cs="Arial"/>
                <w:color w:val="000000" w:themeColor="text1"/>
                <w:sz w:val="12"/>
                <w:szCs w:val="14"/>
              </w:rPr>
              <w:t>Components</w:t>
            </w:r>
          </w:p>
          <w:p w14:paraId="59908990" w14:textId="77777777" w:rsidR="002E39D7" w:rsidRPr="00FB4797" w:rsidRDefault="002E39D7" w:rsidP="00873521">
            <w:pPr>
              <w:pStyle w:val="TAH"/>
              <w:rPr>
                <w:rFonts w:cs="Arial"/>
                <w:color w:val="000000" w:themeColor="text1"/>
                <w:sz w:val="12"/>
                <w:szCs w:val="14"/>
                <w:lang w:eastAsia="zh-CN"/>
              </w:rPr>
            </w:pPr>
          </w:p>
        </w:tc>
        <w:tc>
          <w:tcPr>
            <w:tcW w:w="850" w:type="dxa"/>
            <w:shd w:val="clear" w:color="auto" w:fill="auto"/>
          </w:tcPr>
          <w:p w14:paraId="18FA36C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Prerequisite feature groups</w:t>
            </w:r>
          </w:p>
        </w:tc>
        <w:tc>
          <w:tcPr>
            <w:tcW w:w="915" w:type="dxa"/>
            <w:shd w:val="clear" w:color="auto" w:fill="auto"/>
          </w:tcPr>
          <w:p w14:paraId="52133845"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 xml:space="preserve">Need for the </w:t>
            </w:r>
            <w:proofErr w:type="spellStart"/>
            <w:r w:rsidRPr="00FB4797">
              <w:rPr>
                <w:rFonts w:cs="Arial"/>
                <w:color w:val="000000" w:themeColor="text1"/>
                <w:sz w:val="12"/>
                <w:szCs w:val="14"/>
              </w:rPr>
              <w:t>gNB</w:t>
            </w:r>
            <w:proofErr w:type="spellEnd"/>
            <w:r w:rsidRPr="00FB4797">
              <w:rPr>
                <w:rFonts w:cs="Arial"/>
                <w:color w:val="000000" w:themeColor="text1"/>
                <w:sz w:val="12"/>
                <w:szCs w:val="14"/>
              </w:rPr>
              <w:t xml:space="preserve"> to know if the feature is supported</w:t>
            </w:r>
          </w:p>
        </w:tc>
        <w:tc>
          <w:tcPr>
            <w:tcW w:w="680" w:type="dxa"/>
            <w:shd w:val="clear" w:color="auto" w:fill="auto"/>
          </w:tcPr>
          <w:p w14:paraId="466284B6" w14:textId="2D12FC43" w:rsidR="002E39D7" w:rsidRPr="00FB4797" w:rsidRDefault="002E39D7" w:rsidP="00873521">
            <w:pPr>
              <w:pStyle w:val="TAH"/>
              <w:rPr>
                <w:rFonts w:cs="Arial"/>
                <w:color w:val="000000" w:themeColor="text1"/>
                <w:sz w:val="12"/>
                <w:szCs w:val="14"/>
              </w:rPr>
            </w:pPr>
            <w:r w:rsidRPr="00FB4797">
              <w:rPr>
                <w:rFonts w:eastAsia="Gulim" w:cs="Arial"/>
                <w:color w:val="000000" w:themeColor="text1"/>
                <w:sz w:val="12"/>
                <w:szCs w:val="14"/>
              </w:rPr>
              <w:t xml:space="preserve">Applicable to </w:t>
            </w:r>
            <w:r w:rsidRPr="00FB4797">
              <w:rPr>
                <w:rFonts w:cs="Arial"/>
                <w:color w:val="000000" w:themeColor="text1"/>
                <w:sz w:val="12"/>
                <w:szCs w:val="14"/>
              </w:rPr>
              <w:t>V2X</w:t>
            </w:r>
          </w:p>
        </w:tc>
        <w:tc>
          <w:tcPr>
            <w:tcW w:w="1081" w:type="dxa"/>
          </w:tcPr>
          <w:p w14:paraId="4C8A0532" w14:textId="77777777" w:rsidR="002E39D7" w:rsidRPr="00FB4797" w:rsidRDefault="002E39D7" w:rsidP="00873521">
            <w:pPr>
              <w:pStyle w:val="TAN"/>
              <w:ind w:left="0" w:firstLine="0"/>
              <w:rPr>
                <w:rFonts w:cs="Arial"/>
                <w:b/>
                <w:color w:val="000000" w:themeColor="text1"/>
                <w:sz w:val="12"/>
                <w:szCs w:val="14"/>
                <w:lang w:eastAsia="ja-JP"/>
              </w:rPr>
            </w:pPr>
            <w:r w:rsidRPr="00FB4797">
              <w:rPr>
                <w:rFonts w:cs="Arial"/>
                <w:b/>
                <w:color w:val="000000" w:themeColor="text1"/>
                <w:sz w:val="12"/>
                <w:szCs w:val="14"/>
                <w:lang w:eastAsia="ja-JP"/>
              </w:rPr>
              <w:t>Consequence if the feature is not supported by the UE</w:t>
            </w:r>
          </w:p>
        </w:tc>
        <w:tc>
          <w:tcPr>
            <w:tcW w:w="516" w:type="dxa"/>
            <w:shd w:val="clear" w:color="auto" w:fill="auto"/>
          </w:tcPr>
          <w:p w14:paraId="65F62927" w14:textId="77777777" w:rsidR="002E39D7" w:rsidRPr="00FB4797" w:rsidRDefault="002E39D7" w:rsidP="00873521">
            <w:pPr>
              <w:pStyle w:val="TAN"/>
              <w:ind w:left="0" w:firstLine="0"/>
              <w:rPr>
                <w:rFonts w:cs="Arial"/>
                <w:b/>
                <w:color w:val="000000" w:themeColor="text1"/>
                <w:sz w:val="12"/>
                <w:szCs w:val="14"/>
                <w:lang w:eastAsia="ja-JP"/>
              </w:rPr>
            </w:pPr>
            <w:r w:rsidRPr="00FB4797">
              <w:rPr>
                <w:rFonts w:cs="Arial"/>
                <w:b/>
                <w:color w:val="000000" w:themeColor="text1"/>
                <w:sz w:val="12"/>
                <w:szCs w:val="14"/>
                <w:lang w:eastAsia="ja-JP"/>
              </w:rPr>
              <w:t>Type</w:t>
            </w:r>
          </w:p>
          <w:p w14:paraId="2F959CC7" w14:textId="5B43B6C6" w:rsidR="002E39D7" w:rsidRPr="00FB4797" w:rsidRDefault="002E39D7" w:rsidP="00873521">
            <w:pPr>
              <w:pStyle w:val="TAN"/>
              <w:ind w:left="0" w:firstLine="0"/>
              <w:rPr>
                <w:rFonts w:cs="Arial"/>
                <w:b/>
                <w:color w:val="000000" w:themeColor="text1"/>
                <w:sz w:val="12"/>
                <w:szCs w:val="14"/>
                <w:lang w:eastAsia="ja-JP"/>
              </w:rPr>
            </w:pPr>
          </w:p>
        </w:tc>
        <w:tc>
          <w:tcPr>
            <w:tcW w:w="680" w:type="dxa"/>
            <w:shd w:val="clear" w:color="auto" w:fill="auto"/>
          </w:tcPr>
          <w:p w14:paraId="19AC4F71" w14:textId="7C153064"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 xml:space="preserve">Need of FDD/TDD </w:t>
            </w:r>
            <w:proofErr w:type="spellStart"/>
            <w:r w:rsidRPr="00FB4797">
              <w:rPr>
                <w:rFonts w:cs="Arial"/>
                <w:color w:val="000000" w:themeColor="text1"/>
                <w:sz w:val="12"/>
                <w:szCs w:val="14"/>
              </w:rPr>
              <w:t>dif</w:t>
            </w:r>
            <w:proofErr w:type="spellEnd"/>
          </w:p>
        </w:tc>
        <w:tc>
          <w:tcPr>
            <w:tcW w:w="688" w:type="dxa"/>
            <w:shd w:val="clear" w:color="auto" w:fill="auto"/>
          </w:tcPr>
          <w:p w14:paraId="02707107" w14:textId="6672CA75"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 xml:space="preserve">Need of FR1/FR2 </w:t>
            </w:r>
            <w:proofErr w:type="spellStart"/>
            <w:r w:rsidRPr="00FB4797">
              <w:rPr>
                <w:rFonts w:cs="Arial"/>
                <w:color w:val="000000" w:themeColor="text1"/>
                <w:sz w:val="12"/>
                <w:szCs w:val="14"/>
              </w:rPr>
              <w:t>dif</w:t>
            </w:r>
            <w:proofErr w:type="spellEnd"/>
          </w:p>
        </w:tc>
        <w:tc>
          <w:tcPr>
            <w:tcW w:w="964" w:type="dxa"/>
          </w:tcPr>
          <w:p w14:paraId="2EACDE4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Capability interpretation for mixture of FDD/TDD and/or FR1/FR2</w:t>
            </w:r>
          </w:p>
        </w:tc>
        <w:tc>
          <w:tcPr>
            <w:tcW w:w="849" w:type="dxa"/>
            <w:shd w:val="clear" w:color="auto" w:fill="auto"/>
          </w:tcPr>
          <w:p w14:paraId="38D72CBF"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Note</w:t>
            </w:r>
          </w:p>
        </w:tc>
        <w:tc>
          <w:tcPr>
            <w:tcW w:w="776" w:type="dxa"/>
            <w:shd w:val="clear" w:color="auto" w:fill="auto"/>
          </w:tcPr>
          <w:p w14:paraId="31DC70A8"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Mandatory/Optional</w:t>
            </w:r>
          </w:p>
        </w:tc>
      </w:tr>
      <w:tr w:rsidR="00E732EB" w:rsidRPr="00E732EB" w14:paraId="50C51609" w14:textId="77777777" w:rsidTr="00FB4797">
        <w:trPr>
          <w:trHeight w:val="20"/>
          <w:jc w:val="center"/>
        </w:trPr>
        <w:tc>
          <w:tcPr>
            <w:tcW w:w="587" w:type="dxa"/>
            <w:shd w:val="clear" w:color="auto" w:fill="auto"/>
          </w:tcPr>
          <w:p w14:paraId="18AFB95E" w14:textId="77777777" w:rsidR="002E39D7" w:rsidRPr="00FB4797" w:rsidRDefault="002E39D7" w:rsidP="00873521">
            <w:pPr>
              <w:pStyle w:val="TAH"/>
              <w:rPr>
                <w:rFonts w:cs="Arial"/>
                <w:b w:val="0"/>
                <w:bCs/>
                <w:color w:val="000000" w:themeColor="text1"/>
                <w:sz w:val="12"/>
                <w:szCs w:val="14"/>
                <w:lang w:eastAsia="zh-CN"/>
              </w:rPr>
            </w:pPr>
            <w:r w:rsidRPr="00FB4797">
              <w:rPr>
                <w:rFonts w:cs="Arial"/>
                <w:b w:val="0"/>
                <w:bCs/>
                <w:color w:val="000000" w:themeColor="text1"/>
                <w:sz w:val="12"/>
                <w:szCs w:val="14"/>
                <w:lang w:eastAsia="zh-CN"/>
              </w:rPr>
              <w:t>30-1</w:t>
            </w:r>
          </w:p>
        </w:tc>
        <w:tc>
          <w:tcPr>
            <w:tcW w:w="850" w:type="dxa"/>
            <w:shd w:val="clear" w:color="auto" w:fill="auto"/>
          </w:tcPr>
          <w:p w14:paraId="2867078B" w14:textId="77777777" w:rsidR="002E39D7" w:rsidRPr="00FB4797" w:rsidRDefault="002E39D7" w:rsidP="00873521">
            <w:pPr>
              <w:pStyle w:val="TAH"/>
              <w:jc w:val="left"/>
              <w:rPr>
                <w:rFonts w:cs="Arial"/>
                <w:b w:val="0"/>
                <w:bCs/>
                <w:color w:val="000000" w:themeColor="text1"/>
                <w:sz w:val="12"/>
                <w:szCs w:val="14"/>
              </w:rPr>
            </w:pPr>
            <w:r w:rsidRPr="00FB4797">
              <w:rPr>
                <w:rFonts w:cs="Arial"/>
                <w:b w:val="0"/>
                <w:bCs/>
                <w:color w:val="000000" w:themeColor="text1"/>
                <w:sz w:val="12"/>
                <w:szCs w:val="14"/>
              </w:rPr>
              <w:t xml:space="preserve">Support of requirements for </w:t>
            </w:r>
            <w:proofErr w:type="spellStart"/>
            <w:r w:rsidRPr="00FB4797">
              <w:rPr>
                <w:rFonts w:cs="Arial"/>
                <w:b w:val="0"/>
                <w:bCs/>
                <w:color w:val="000000" w:themeColor="text1"/>
                <w:sz w:val="12"/>
                <w:szCs w:val="14"/>
              </w:rPr>
              <w:t>multiRx_DL</w:t>
            </w:r>
            <w:proofErr w:type="spellEnd"/>
          </w:p>
        </w:tc>
        <w:tc>
          <w:tcPr>
            <w:tcW w:w="2036" w:type="dxa"/>
            <w:shd w:val="clear" w:color="auto" w:fill="auto"/>
          </w:tcPr>
          <w:p w14:paraId="13992269" w14:textId="77777777" w:rsidR="002E39D7" w:rsidRPr="00FB4797" w:rsidRDefault="002E39D7" w:rsidP="00E732EB">
            <w:pPr>
              <w:pStyle w:val="TAH"/>
              <w:widowControl/>
              <w:numPr>
                <w:ilvl w:val="0"/>
                <w:numId w:val="46"/>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themeColor="text1"/>
                <w:sz w:val="12"/>
                <w:szCs w:val="14"/>
              </w:rPr>
              <w:t xml:space="preserve">Supports simultaneous reception of PDCCH/PDSCH and RS for L1 measurement with different QCL Type-D on overlapping OFDM symbols, and </w:t>
            </w:r>
          </w:p>
          <w:p w14:paraId="74C9D17C" w14:textId="77777777" w:rsidR="002E39D7" w:rsidRPr="00FB4797" w:rsidRDefault="002E39D7" w:rsidP="00E732EB">
            <w:pPr>
              <w:pStyle w:val="TAH"/>
              <w:widowControl/>
              <w:numPr>
                <w:ilvl w:val="0"/>
                <w:numId w:val="46"/>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sz w:val="12"/>
                <w:szCs w:val="14"/>
              </w:rPr>
              <w:t>Supports simultaneous measurement of 2 RS for L1 measurements different QCL Type-D on overlapping OFDM symbol(s), and</w:t>
            </w:r>
          </w:p>
          <w:p w14:paraId="67F6B501" w14:textId="77777777" w:rsidR="002E39D7" w:rsidRPr="00FB4797" w:rsidRDefault="002E39D7" w:rsidP="00E732EB">
            <w:pPr>
              <w:pStyle w:val="TAH"/>
              <w:widowControl/>
              <w:numPr>
                <w:ilvl w:val="0"/>
                <w:numId w:val="46"/>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eastAsia="新細明體" w:cs="Arial"/>
                <w:b w:val="0"/>
                <w:bCs/>
                <w:color w:val="000000"/>
                <w:sz w:val="12"/>
                <w:szCs w:val="14"/>
                <w:lang w:eastAsia="zh-TW"/>
              </w:rPr>
              <w:t>Supports requirements for dual TCI state switch in TS38.133</w:t>
            </w:r>
          </w:p>
          <w:p w14:paraId="7D767CDA" w14:textId="2382E5B4" w:rsidR="00BF1B0A" w:rsidRPr="00FB4797" w:rsidRDefault="00BF1B0A" w:rsidP="00FB4797">
            <w:pPr>
              <w:pStyle w:val="TAH"/>
              <w:widowControl/>
              <w:overflowPunct w:val="0"/>
              <w:autoSpaceDE w:val="0"/>
              <w:autoSpaceDN w:val="0"/>
              <w:adjustRightInd w:val="0"/>
              <w:jc w:val="left"/>
              <w:textAlignment w:val="baseline"/>
              <w:rPr>
                <w:rFonts w:cs="Arial"/>
                <w:b w:val="0"/>
                <w:bCs/>
                <w:color w:val="000000" w:themeColor="text1"/>
                <w:sz w:val="12"/>
                <w:szCs w:val="14"/>
              </w:rPr>
            </w:pPr>
            <w:r>
              <w:rPr>
                <w:rFonts w:eastAsia="新細明體" w:cs="Arial" w:hint="eastAsia"/>
                <w:b w:val="0"/>
                <w:bCs/>
                <w:color w:val="000000"/>
                <w:sz w:val="12"/>
                <w:szCs w:val="14"/>
                <w:lang w:eastAsia="zh-TW"/>
              </w:rPr>
              <w:t>N</w:t>
            </w:r>
            <w:r>
              <w:rPr>
                <w:rFonts w:eastAsia="新細明體" w:cs="Arial"/>
                <w:b w:val="0"/>
                <w:bCs/>
                <w:color w:val="000000"/>
                <w:sz w:val="12"/>
                <w:szCs w:val="14"/>
                <w:lang w:eastAsia="zh-TW"/>
              </w:rPr>
              <w:t>ote: Above 3 bullets belong to one single UE capability</w:t>
            </w:r>
          </w:p>
        </w:tc>
        <w:tc>
          <w:tcPr>
            <w:tcW w:w="850" w:type="dxa"/>
            <w:shd w:val="clear" w:color="auto" w:fill="auto"/>
          </w:tcPr>
          <w:p w14:paraId="45A0AC4F"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16-2c</w:t>
            </w:r>
          </w:p>
        </w:tc>
        <w:tc>
          <w:tcPr>
            <w:tcW w:w="915" w:type="dxa"/>
            <w:shd w:val="clear" w:color="auto" w:fill="auto"/>
          </w:tcPr>
          <w:p w14:paraId="3FFF28F1"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Yes</w:t>
            </w:r>
          </w:p>
        </w:tc>
        <w:tc>
          <w:tcPr>
            <w:tcW w:w="680" w:type="dxa"/>
            <w:shd w:val="clear" w:color="auto" w:fill="auto"/>
          </w:tcPr>
          <w:p w14:paraId="3AD28203"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No</w:t>
            </w:r>
          </w:p>
        </w:tc>
        <w:tc>
          <w:tcPr>
            <w:tcW w:w="1081" w:type="dxa"/>
          </w:tcPr>
          <w:p w14:paraId="38D28C79" w14:textId="1697B306" w:rsidR="002E39D7" w:rsidRPr="00FB4797" w:rsidRDefault="002E39D7" w:rsidP="00873521">
            <w:pPr>
              <w:pStyle w:val="TAN"/>
              <w:ind w:left="0" w:firstLine="0"/>
              <w:rPr>
                <w:rFonts w:eastAsia="新細明體" w:cs="Arial"/>
                <w:bCs/>
                <w:color w:val="000000" w:themeColor="text1"/>
                <w:sz w:val="12"/>
                <w:szCs w:val="14"/>
              </w:rPr>
            </w:pPr>
            <w:r w:rsidRPr="00FB4797">
              <w:rPr>
                <w:rFonts w:eastAsia="新細明體" w:cs="Arial"/>
                <w:bCs/>
                <w:color w:val="000000" w:themeColor="text1"/>
                <w:sz w:val="12"/>
                <w:szCs w:val="14"/>
              </w:rPr>
              <w:t xml:space="preserve">UE </w:t>
            </w:r>
            <w:r w:rsidR="00BF1B0A">
              <w:rPr>
                <w:rFonts w:eastAsia="新細明體" w:cs="Arial"/>
                <w:bCs/>
                <w:color w:val="000000" w:themeColor="text1"/>
                <w:sz w:val="12"/>
                <w:szCs w:val="14"/>
              </w:rPr>
              <w:t>does not</w:t>
            </w:r>
            <w:r w:rsidRPr="00FB4797">
              <w:rPr>
                <w:rFonts w:eastAsia="新細明體" w:cs="Arial"/>
                <w:bCs/>
                <w:color w:val="000000" w:themeColor="text1"/>
                <w:sz w:val="12"/>
                <w:szCs w:val="14"/>
              </w:rPr>
              <w:t xml:space="preserve"> follow the requirements </w:t>
            </w:r>
          </w:p>
        </w:tc>
        <w:tc>
          <w:tcPr>
            <w:tcW w:w="516" w:type="dxa"/>
            <w:shd w:val="clear" w:color="auto" w:fill="auto"/>
          </w:tcPr>
          <w:p w14:paraId="0063E091" w14:textId="77777777" w:rsidR="002E39D7" w:rsidRPr="00FB4797" w:rsidRDefault="002E39D7" w:rsidP="00873521">
            <w:pPr>
              <w:pStyle w:val="TAN"/>
              <w:ind w:left="0" w:firstLine="0"/>
              <w:rPr>
                <w:rFonts w:eastAsia="新細明體" w:cs="Arial"/>
                <w:bCs/>
                <w:color w:val="000000" w:themeColor="text1"/>
                <w:sz w:val="12"/>
                <w:szCs w:val="14"/>
              </w:rPr>
            </w:pPr>
            <w:r w:rsidRPr="00FB4797">
              <w:rPr>
                <w:rFonts w:eastAsia="新細明體" w:cs="Arial"/>
                <w:bCs/>
                <w:color w:val="000000" w:themeColor="text1"/>
                <w:sz w:val="12"/>
                <w:szCs w:val="14"/>
              </w:rPr>
              <w:t>[Per band]</w:t>
            </w:r>
          </w:p>
        </w:tc>
        <w:tc>
          <w:tcPr>
            <w:tcW w:w="680" w:type="dxa"/>
            <w:shd w:val="clear" w:color="auto" w:fill="auto"/>
          </w:tcPr>
          <w:p w14:paraId="12AACFA7"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TDD only</w:t>
            </w:r>
          </w:p>
        </w:tc>
        <w:tc>
          <w:tcPr>
            <w:tcW w:w="688" w:type="dxa"/>
            <w:shd w:val="clear" w:color="auto" w:fill="auto"/>
          </w:tcPr>
          <w:p w14:paraId="3DECFD41"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FR2-1 only</w:t>
            </w:r>
          </w:p>
        </w:tc>
        <w:tc>
          <w:tcPr>
            <w:tcW w:w="964" w:type="dxa"/>
          </w:tcPr>
          <w:p w14:paraId="47BC88AD" w14:textId="77777777" w:rsidR="002E39D7" w:rsidRPr="00FB4797" w:rsidRDefault="002E39D7" w:rsidP="00873521">
            <w:pPr>
              <w:pStyle w:val="TAH"/>
              <w:rPr>
                <w:rFonts w:cs="Arial"/>
                <w:b w:val="0"/>
                <w:bCs/>
                <w:color w:val="000000" w:themeColor="text1"/>
                <w:sz w:val="12"/>
                <w:szCs w:val="14"/>
              </w:rPr>
            </w:pPr>
          </w:p>
        </w:tc>
        <w:tc>
          <w:tcPr>
            <w:tcW w:w="849" w:type="dxa"/>
            <w:shd w:val="clear" w:color="auto" w:fill="auto"/>
          </w:tcPr>
          <w:p w14:paraId="26D42DA4" w14:textId="77777777" w:rsidR="002E39D7" w:rsidRPr="00FB4797" w:rsidRDefault="002E39D7" w:rsidP="00873521">
            <w:pPr>
              <w:pStyle w:val="TAH"/>
              <w:rPr>
                <w:rFonts w:cs="Arial"/>
                <w:b w:val="0"/>
                <w:bCs/>
                <w:color w:val="000000" w:themeColor="text1"/>
                <w:sz w:val="12"/>
                <w:szCs w:val="14"/>
              </w:rPr>
            </w:pPr>
          </w:p>
        </w:tc>
        <w:tc>
          <w:tcPr>
            <w:tcW w:w="776" w:type="dxa"/>
            <w:shd w:val="clear" w:color="auto" w:fill="auto"/>
          </w:tcPr>
          <w:p w14:paraId="34E7A96C"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Optional with capability signalling</w:t>
            </w:r>
          </w:p>
        </w:tc>
      </w:tr>
      <w:tr w:rsidR="00E732EB" w:rsidRPr="00E732EB" w14:paraId="661FE99A" w14:textId="77777777" w:rsidTr="00FB4797">
        <w:trPr>
          <w:trHeight w:val="20"/>
          <w:jc w:val="center"/>
        </w:trPr>
        <w:tc>
          <w:tcPr>
            <w:tcW w:w="587" w:type="dxa"/>
            <w:shd w:val="clear" w:color="auto" w:fill="auto"/>
          </w:tcPr>
          <w:p w14:paraId="038B7539"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30-2</w:t>
            </w:r>
          </w:p>
        </w:tc>
        <w:tc>
          <w:tcPr>
            <w:tcW w:w="850" w:type="dxa"/>
            <w:shd w:val="clear" w:color="auto" w:fill="auto"/>
          </w:tcPr>
          <w:p w14:paraId="181CC541" w14:textId="77777777" w:rsidR="002E39D7" w:rsidRPr="00FB4797" w:rsidRDefault="002E39D7" w:rsidP="00873521">
            <w:pPr>
              <w:pStyle w:val="TAH"/>
              <w:jc w:val="left"/>
              <w:rPr>
                <w:rFonts w:cs="Arial"/>
                <w:b w:val="0"/>
                <w:bCs/>
                <w:color w:val="000000" w:themeColor="text1"/>
                <w:sz w:val="12"/>
                <w:szCs w:val="14"/>
              </w:rPr>
            </w:pPr>
            <w:r w:rsidRPr="00FB4797">
              <w:rPr>
                <w:rFonts w:cs="Arial"/>
                <w:b w:val="0"/>
                <w:bCs/>
                <w:color w:val="000000"/>
                <w:sz w:val="12"/>
                <w:szCs w:val="14"/>
                <w:lang w:eastAsia="zh-CN"/>
              </w:rPr>
              <w:t>Fast beam sweeping for L1 measurement</w:t>
            </w:r>
          </w:p>
        </w:tc>
        <w:tc>
          <w:tcPr>
            <w:tcW w:w="2036" w:type="dxa"/>
            <w:shd w:val="clear" w:color="auto" w:fill="auto"/>
          </w:tcPr>
          <w:p w14:paraId="22C81546" w14:textId="77777777" w:rsidR="002E39D7" w:rsidRPr="00FB4797" w:rsidRDefault="002E39D7" w:rsidP="00FB4797">
            <w:pPr>
              <w:pStyle w:val="TAH"/>
              <w:widowControl/>
              <w:numPr>
                <w:ilvl w:val="0"/>
                <w:numId w:val="46"/>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sz w:val="12"/>
                <w:szCs w:val="14"/>
              </w:rPr>
              <w:t>Supports beam sweeping factor reduction for SSB-based layer 1 measurement.</w:t>
            </w:r>
          </w:p>
        </w:tc>
        <w:tc>
          <w:tcPr>
            <w:tcW w:w="850" w:type="dxa"/>
            <w:shd w:val="clear" w:color="auto" w:fill="auto"/>
          </w:tcPr>
          <w:p w14:paraId="70E4DCEB" w14:textId="77777777" w:rsidR="002E39D7" w:rsidRPr="00FB4797" w:rsidRDefault="002E39D7" w:rsidP="00873521">
            <w:pPr>
              <w:pStyle w:val="TAH"/>
              <w:rPr>
                <w:rFonts w:cs="Arial"/>
                <w:b w:val="0"/>
                <w:bCs/>
                <w:color w:val="000000"/>
                <w:sz w:val="12"/>
                <w:szCs w:val="14"/>
                <w:lang w:eastAsia="zh-CN"/>
              </w:rPr>
            </w:pPr>
            <w:r w:rsidRPr="00FB4797">
              <w:rPr>
                <w:rFonts w:cs="Arial"/>
                <w:b w:val="0"/>
                <w:bCs/>
                <w:color w:val="000000"/>
                <w:sz w:val="12"/>
                <w:szCs w:val="14"/>
              </w:rPr>
              <w:t> </w:t>
            </w:r>
          </w:p>
        </w:tc>
        <w:tc>
          <w:tcPr>
            <w:tcW w:w="915" w:type="dxa"/>
            <w:shd w:val="clear" w:color="auto" w:fill="auto"/>
          </w:tcPr>
          <w:p w14:paraId="16FC0FF2" w14:textId="77777777" w:rsidR="002E39D7" w:rsidRPr="00FB4797" w:rsidRDefault="002E39D7" w:rsidP="00873521">
            <w:pPr>
              <w:pStyle w:val="TAH"/>
              <w:rPr>
                <w:rFonts w:cs="Arial"/>
                <w:b w:val="0"/>
                <w:bCs/>
                <w:color w:val="000000"/>
                <w:sz w:val="12"/>
                <w:szCs w:val="14"/>
                <w:lang w:eastAsia="zh-CN"/>
              </w:rPr>
            </w:pPr>
            <w:r w:rsidRPr="00FB4797">
              <w:rPr>
                <w:rFonts w:cs="Arial"/>
                <w:b w:val="0"/>
                <w:bCs/>
                <w:color w:val="FF0000"/>
                <w:sz w:val="12"/>
                <w:szCs w:val="14"/>
                <w:lang w:eastAsia="zh-CN"/>
              </w:rPr>
              <w:t>No</w:t>
            </w:r>
          </w:p>
        </w:tc>
        <w:tc>
          <w:tcPr>
            <w:tcW w:w="680" w:type="dxa"/>
            <w:shd w:val="clear" w:color="auto" w:fill="auto"/>
          </w:tcPr>
          <w:p w14:paraId="5EFC7208"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cs="Arial"/>
                <w:b w:val="0"/>
                <w:bCs/>
                <w:color w:val="000000"/>
                <w:sz w:val="12"/>
                <w:szCs w:val="14"/>
                <w:lang w:eastAsia="zh-CN"/>
              </w:rPr>
              <w:t>N/A</w:t>
            </w:r>
          </w:p>
        </w:tc>
        <w:tc>
          <w:tcPr>
            <w:tcW w:w="1081" w:type="dxa"/>
          </w:tcPr>
          <w:p w14:paraId="15AF82D0" w14:textId="2677331A" w:rsidR="002E39D7" w:rsidRPr="00FB4797" w:rsidRDefault="002E39D7" w:rsidP="00873521">
            <w:pPr>
              <w:pStyle w:val="TAN"/>
              <w:ind w:left="0" w:firstLine="0"/>
              <w:rPr>
                <w:rFonts w:eastAsia="新細明體" w:cs="Arial"/>
                <w:bCs/>
                <w:color w:val="000000" w:themeColor="text1"/>
                <w:sz w:val="12"/>
                <w:szCs w:val="14"/>
              </w:rPr>
            </w:pPr>
            <w:r w:rsidRPr="00FB4797">
              <w:rPr>
                <w:rFonts w:cs="Arial"/>
                <w:bCs/>
                <w:color w:val="000000"/>
                <w:sz w:val="12"/>
                <w:szCs w:val="14"/>
              </w:rPr>
              <w:t>UE’s L1 measurement delay is not reduced</w:t>
            </w:r>
          </w:p>
        </w:tc>
        <w:tc>
          <w:tcPr>
            <w:tcW w:w="516" w:type="dxa"/>
            <w:shd w:val="clear" w:color="auto" w:fill="auto"/>
          </w:tcPr>
          <w:p w14:paraId="093A1A3E" w14:textId="77777777" w:rsidR="002E39D7" w:rsidRPr="00FB4797" w:rsidRDefault="002E39D7" w:rsidP="00873521">
            <w:pPr>
              <w:pStyle w:val="TAN"/>
              <w:ind w:left="0" w:firstLine="0"/>
              <w:rPr>
                <w:rFonts w:eastAsia="新細明體" w:cs="Arial"/>
                <w:bCs/>
                <w:color w:val="000000" w:themeColor="text1"/>
                <w:sz w:val="12"/>
                <w:szCs w:val="14"/>
              </w:rPr>
            </w:pPr>
            <w:r w:rsidRPr="00FB4797">
              <w:rPr>
                <w:rFonts w:cs="Arial"/>
                <w:bCs/>
                <w:color w:val="000000"/>
                <w:sz w:val="12"/>
                <w:szCs w:val="14"/>
                <w:lang w:eastAsia="zh-CN"/>
              </w:rPr>
              <w:t>Per band</w:t>
            </w:r>
          </w:p>
        </w:tc>
        <w:tc>
          <w:tcPr>
            <w:tcW w:w="680" w:type="dxa"/>
            <w:shd w:val="clear" w:color="auto" w:fill="auto"/>
          </w:tcPr>
          <w:p w14:paraId="150D643D"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TDD only</w:t>
            </w:r>
          </w:p>
        </w:tc>
        <w:tc>
          <w:tcPr>
            <w:tcW w:w="688" w:type="dxa"/>
            <w:shd w:val="clear" w:color="auto" w:fill="auto"/>
          </w:tcPr>
          <w:p w14:paraId="3DCB35FA"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cs="Arial"/>
                <w:b w:val="0"/>
                <w:bCs/>
                <w:color w:val="000000"/>
                <w:sz w:val="12"/>
                <w:szCs w:val="14"/>
                <w:lang w:eastAsia="zh-CN"/>
              </w:rPr>
              <w:t>FR2-1 only</w:t>
            </w:r>
          </w:p>
        </w:tc>
        <w:tc>
          <w:tcPr>
            <w:tcW w:w="964" w:type="dxa"/>
          </w:tcPr>
          <w:p w14:paraId="37E28C0A"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 </w:t>
            </w:r>
          </w:p>
        </w:tc>
        <w:tc>
          <w:tcPr>
            <w:tcW w:w="849" w:type="dxa"/>
            <w:shd w:val="clear" w:color="auto" w:fill="auto"/>
          </w:tcPr>
          <w:p w14:paraId="09233BC5"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rPr>
              <w:t xml:space="preserve">Candidate values: {2,4,6} </w:t>
            </w:r>
          </w:p>
        </w:tc>
        <w:tc>
          <w:tcPr>
            <w:tcW w:w="776" w:type="dxa"/>
            <w:shd w:val="clear" w:color="auto" w:fill="auto"/>
          </w:tcPr>
          <w:p w14:paraId="27B8A9C4" w14:textId="77777777" w:rsidR="002E39D7" w:rsidRPr="00FB4797" w:rsidRDefault="002E39D7" w:rsidP="00873521">
            <w:pPr>
              <w:pStyle w:val="TAH"/>
              <w:rPr>
                <w:rFonts w:cs="Arial"/>
                <w:b w:val="0"/>
                <w:bCs/>
                <w:color w:val="000000"/>
                <w:sz w:val="12"/>
                <w:szCs w:val="14"/>
                <w:lang w:eastAsia="zh-CN"/>
              </w:rPr>
            </w:pPr>
            <w:r w:rsidRPr="00FB4797">
              <w:rPr>
                <w:rFonts w:cs="Arial"/>
                <w:b w:val="0"/>
                <w:bCs/>
                <w:color w:val="000000"/>
                <w:sz w:val="12"/>
                <w:szCs w:val="14"/>
                <w:lang w:eastAsia="zh-CN"/>
              </w:rPr>
              <w:t xml:space="preserve">Optional </w:t>
            </w:r>
            <w:r w:rsidRPr="00FB4797">
              <w:rPr>
                <w:rFonts w:cs="Arial"/>
                <w:b w:val="0"/>
                <w:bCs/>
                <w:color w:val="FF0000"/>
                <w:sz w:val="12"/>
                <w:szCs w:val="14"/>
                <w:lang w:eastAsia="zh-CN"/>
              </w:rPr>
              <w:t xml:space="preserve">without </w:t>
            </w:r>
            <w:r w:rsidRPr="00FB4797">
              <w:rPr>
                <w:rFonts w:cs="Arial"/>
                <w:b w:val="0"/>
                <w:bCs/>
                <w:color w:val="000000"/>
                <w:sz w:val="12"/>
                <w:szCs w:val="14"/>
                <w:lang w:eastAsia="zh-CN"/>
              </w:rPr>
              <w:t>capability signalling</w:t>
            </w:r>
          </w:p>
        </w:tc>
      </w:tr>
    </w:tbl>
    <w:p w14:paraId="619E658F" w14:textId="77777777" w:rsidR="00FB4797" w:rsidRDefault="00FB4797" w:rsidP="00160C88">
      <w:pPr>
        <w:widowControl/>
        <w:spacing w:after="120"/>
        <w:textAlignment w:val="center"/>
        <w:rPr>
          <w:rFonts w:eastAsia="新細明體"/>
          <w:szCs w:val="24"/>
          <w:lang w:val="en-GB"/>
        </w:rPr>
      </w:pPr>
    </w:p>
    <w:p w14:paraId="5A993B5E" w14:textId="7BAAC6ED" w:rsidR="00160C88" w:rsidRDefault="00060D78" w:rsidP="00160C88">
      <w:pPr>
        <w:widowControl/>
        <w:spacing w:after="120"/>
        <w:textAlignment w:val="center"/>
        <w:rPr>
          <w:rFonts w:eastAsia="新細明體"/>
          <w:szCs w:val="24"/>
          <w:lang w:val="en-GB"/>
        </w:rPr>
      </w:pPr>
      <w:r>
        <w:rPr>
          <w:rFonts w:eastAsia="新細明體"/>
          <w:szCs w:val="24"/>
          <w:lang w:val="en-GB"/>
        </w:rPr>
        <w:t>F</w:t>
      </w:r>
      <w:r w:rsidR="00160C88">
        <w:rPr>
          <w:rFonts w:eastAsia="新細明體"/>
          <w:szCs w:val="24"/>
          <w:lang w:val="en-GB"/>
        </w:rPr>
        <w:t>or the capability of feaster beam sweeping (X-3 in Table 1), we don’t see the reason why gNB need</w:t>
      </w:r>
      <w:r w:rsidR="005A0C90">
        <w:rPr>
          <w:rFonts w:eastAsia="新細明體"/>
          <w:szCs w:val="24"/>
          <w:lang w:val="en-GB"/>
        </w:rPr>
        <w:t>s</w:t>
      </w:r>
      <w:r w:rsidR="00160C88">
        <w:rPr>
          <w:rFonts w:eastAsia="新細明體"/>
          <w:szCs w:val="24"/>
          <w:lang w:val="en-GB"/>
        </w:rPr>
        <w:t xml:space="preserve"> to know the reduced sweeping factor. </w:t>
      </w:r>
      <w:r w:rsidR="003C0E47">
        <w:rPr>
          <w:rFonts w:eastAsia="新細明體"/>
          <w:szCs w:val="24"/>
          <w:lang w:val="en-GB"/>
        </w:rPr>
        <w:t>This capability impacts UE’s background measurement delay, which can be guaranteed by test cases. Network does not need to know the measurem</w:t>
      </w:r>
      <w:r w:rsidR="003C0E47" w:rsidRPr="00EA70B4">
        <w:rPr>
          <w:rFonts w:eastAsia="新細明體"/>
          <w:szCs w:val="24"/>
          <w:lang w:val="en-GB"/>
        </w:rPr>
        <w:t xml:space="preserve">ent delay, but only wait for </w:t>
      </w:r>
      <w:r w:rsidR="00EA70B4">
        <w:rPr>
          <w:rFonts w:eastAsia="新細明體"/>
          <w:szCs w:val="24"/>
          <w:lang w:val="en-GB"/>
        </w:rPr>
        <w:t xml:space="preserve">UE’s UL signals (e.g., </w:t>
      </w:r>
      <w:r w:rsidR="003C0E47" w:rsidRPr="00EA70B4">
        <w:rPr>
          <w:rFonts w:eastAsia="新細明體"/>
          <w:szCs w:val="24"/>
          <w:lang w:val="en-GB"/>
        </w:rPr>
        <w:t>the measure</w:t>
      </w:r>
      <w:r w:rsidR="00EA70B4">
        <w:rPr>
          <w:rFonts w:eastAsia="新細明體"/>
          <w:szCs w:val="24"/>
          <w:lang w:val="en-GB"/>
        </w:rPr>
        <w:t>ment</w:t>
      </w:r>
      <w:r w:rsidR="003C0E47" w:rsidRPr="00EA70B4">
        <w:rPr>
          <w:rFonts w:eastAsia="新細明體"/>
          <w:szCs w:val="24"/>
          <w:lang w:val="en-GB"/>
        </w:rPr>
        <w:t xml:space="preserve"> reports for L1-RSRP</w:t>
      </w:r>
      <w:r w:rsidR="00EA70B4">
        <w:rPr>
          <w:rFonts w:eastAsia="新細明體"/>
          <w:szCs w:val="24"/>
          <w:lang w:val="en-GB"/>
        </w:rPr>
        <w:t>)</w:t>
      </w:r>
      <w:r w:rsidR="003C0E47" w:rsidRPr="00EA70B4">
        <w:rPr>
          <w:rFonts w:eastAsia="新細明體"/>
          <w:szCs w:val="24"/>
          <w:lang w:val="en-GB"/>
        </w:rPr>
        <w:t xml:space="preserve">. </w:t>
      </w:r>
      <w:r w:rsidR="00160C88" w:rsidRPr="00EA70B4">
        <w:rPr>
          <w:rFonts w:eastAsia="新細明體"/>
          <w:szCs w:val="24"/>
          <w:lang w:val="en-GB"/>
        </w:rPr>
        <w:t>I</w:t>
      </w:r>
      <w:r w:rsidR="00160C88">
        <w:rPr>
          <w:rFonts w:eastAsia="新細明體"/>
          <w:szCs w:val="24"/>
          <w:lang w:val="en-GB"/>
        </w:rPr>
        <w:t xml:space="preserve">n multi-RX operation, </w:t>
      </w:r>
      <w:proofErr w:type="spellStart"/>
      <w:r w:rsidR="00160C88">
        <w:rPr>
          <w:rFonts w:eastAsia="新細明體"/>
          <w:szCs w:val="24"/>
          <w:lang w:val="en-GB"/>
        </w:rPr>
        <w:t>gNB</w:t>
      </w:r>
      <w:proofErr w:type="spellEnd"/>
      <w:r w:rsidR="00160C88">
        <w:rPr>
          <w:rFonts w:eastAsia="新細明體"/>
          <w:szCs w:val="24"/>
          <w:lang w:val="en-GB"/>
        </w:rPr>
        <w:t xml:space="preserve"> only know UE is ready for simultaneous reception via multi-panel after receiving Rel-17 GBBR. Then gNB should confi</w:t>
      </w:r>
      <w:r w:rsidR="00160C88" w:rsidRPr="009C5BDB">
        <w:rPr>
          <w:rFonts w:eastAsia="新細明體"/>
          <w:szCs w:val="24"/>
          <w:lang w:val="en-GB"/>
        </w:rPr>
        <w:t>gure know dual TCI states for simu</w:t>
      </w:r>
      <w:r w:rsidR="00160C88">
        <w:rPr>
          <w:rFonts w:eastAsia="新細明體"/>
          <w:szCs w:val="24"/>
          <w:lang w:val="en-GB"/>
        </w:rPr>
        <w:t xml:space="preserve">ltaneous PDSCH reception. Therefore, gNB can fully understand when UE is ready for simultaneous PDSCH reception even without </w:t>
      </w:r>
      <w:r w:rsidR="00160C88" w:rsidRPr="00160C88">
        <w:rPr>
          <w:szCs w:val="24"/>
        </w:rPr>
        <w:t>the reduced sweeping factor</w:t>
      </w:r>
      <w:r w:rsidR="00160C88">
        <w:rPr>
          <w:rFonts w:eastAsia="新細明體"/>
          <w:szCs w:val="24"/>
          <w:lang w:val="en-GB"/>
        </w:rPr>
        <w:t xml:space="preserve">. So, the </w:t>
      </w:r>
      <w:r>
        <w:rPr>
          <w:rFonts w:eastAsia="新細明體"/>
          <w:szCs w:val="24"/>
          <w:lang w:val="en-GB"/>
        </w:rPr>
        <w:t xml:space="preserve">following </w:t>
      </w:r>
      <w:r w:rsidR="00160C88">
        <w:rPr>
          <w:rFonts w:eastAsia="新細明體"/>
          <w:szCs w:val="24"/>
          <w:lang w:val="en-GB"/>
        </w:rPr>
        <w:t>proposal is suggested.</w:t>
      </w:r>
    </w:p>
    <w:p w14:paraId="7EC9EAE5" w14:textId="6DEBC70B" w:rsidR="004337EE" w:rsidRDefault="00160C88" w:rsidP="00160C88">
      <w:pPr>
        <w:pStyle w:val="Caption"/>
        <w:rPr>
          <w:sz w:val="24"/>
          <w:szCs w:val="24"/>
        </w:rPr>
      </w:pPr>
      <w:bookmarkStart w:id="5" w:name="_Ref149062214"/>
      <w:r w:rsidRPr="00160C88">
        <w:rPr>
          <w:sz w:val="24"/>
          <w:szCs w:val="24"/>
        </w:rPr>
        <w:t xml:space="preserve">Proposal </w:t>
      </w:r>
      <w:r w:rsidRPr="00160C88">
        <w:rPr>
          <w:sz w:val="24"/>
          <w:szCs w:val="24"/>
        </w:rPr>
        <w:fldChar w:fldCharType="begin"/>
      </w:r>
      <w:r w:rsidRPr="00160C88">
        <w:rPr>
          <w:sz w:val="24"/>
          <w:szCs w:val="24"/>
        </w:rPr>
        <w:instrText xml:space="preserve"> SEQ Proposal \* ARABIC </w:instrText>
      </w:r>
      <w:r w:rsidRPr="00160C88">
        <w:rPr>
          <w:sz w:val="24"/>
          <w:szCs w:val="24"/>
        </w:rPr>
        <w:fldChar w:fldCharType="separate"/>
      </w:r>
      <w:r w:rsidR="00BF1B0A">
        <w:rPr>
          <w:noProof/>
          <w:sz w:val="24"/>
          <w:szCs w:val="24"/>
        </w:rPr>
        <w:t>2</w:t>
      </w:r>
      <w:r w:rsidRPr="00160C88">
        <w:rPr>
          <w:sz w:val="24"/>
          <w:szCs w:val="24"/>
        </w:rPr>
        <w:fldChar w:fldCharType="end"/>
      </w:r>
      <w:r w:rsidRPr="00160C88">
        <w:rPr>
          <w:sz w:val="24"/>
          <w:szCs w:val="24"/>
        </w:rPr>
        <w:t>: For fast beam sweeping, gNB does not need to know the reduced sweeping factor</w:t>
      </w:r>
      <w:r>
        <w:rPr>
          <w:sz w:val="24"/>
          <w:szCs w:val="24"/>
        </w:rPr>
        <w:t>.</w:t>
      </w:r>
      <w:bookmarkEnd w:id="3"/>
      <w:bookmarkEnd w:id="5"/>
    </w:p>
    <w:p w14:paraId="0A113AE1" w14:textId="796ABF6F" w:rsidR="00BF1B0A" w:rsidRPr="00FB4797" w:rsidRDefault="00BF1B0A" w:rsidP="00FB4797">
      <w:pPr>
        <w:rPr>
          <w:rFonts w:eastAsia="新細明體"/>
          <w:bCs/>
        </w:rPr>
      </w:pPr>
      <w:bookmarkStart w:id="6" w:name="_Ref149555672"/>
      <w:r w:rsidRPr="00FB4797">
        <w:rPr>
          <w:b/>
          <w:bCs/>
          <w:szCs w:val="24"/>
        </w:rPr>
        <w:t xml:space="preserve">Proposal </w:t>
      </w:r>
      <w:r w:rsidRPr="00FB4797">
        <w:rPr>
          <w:b/>
          <w:bCs/>
          <w:szCs w:val="24"/>
        </w:rPr>
        <w:fldChar w:fldCharType="begin"/>
      </w:r>
      <w:r w:rsidRPr="00FB4797">
        <w:rPr>
          <w:b/>
          <w:bCs/>
          <w:szCs w:val="24"/>
        </w:rPr>
        <w:instrText xml:space="preserve"> SEQ Proposal \* ARABIC </w:instrText>
      </w:r>
      <w:r w:rsidRPr="00FB4797">
        <w:rPr>
          <w:b/>
          <w:bCs/>
          <w:szCs w:val="24"/>
        </w:rPr>
        <w:fldChar w:fldCharType="separate"/>
      </w:r>
      <w:r>
        <w:rPr>
          <w:b/>
          <w:bCs/>
          <w:noProof/>
          <w:szCs w:val="24"/>
        </w:rPr>
        <w:t>3</w:t>
      </w:r>
      <w:r w:rsidRPr="00FB4797">
        <w:rPr>
          <w:b/>
          <w:bCs/>
          <w:szCs w:val="24"/>
        </w:rPr>
        <w:fldChar w:fldCharType="end"/>
      </w:r>
      <w:r w:rsidRPr="00FB4797">
        <w:rPr>
          <w:b/>
          <w:bCs/>
          <w:szCs w:val="24"/>
        </w:rPr>
        <w:t xml:space="preserve">: </w:t>
      </w:r>
      <w:r>
        <w:rPr>
          <w:b/>
          <w:bCs/>
          <w:szCs w:val="24"/>
        </w:rPr>
        <w:t xml:space="preserve">Consider Table 2 when introducing UE feature list for </w:t>
      </w:r>
      <w:proofErr w:type="spellStart"/>
      <w:r>
        <w:rPr>
          <w:b/>
          <w:bCs/>
          <w:szCs w:val="24"/>
        </w:rPr>
        <w:t>mRx</w:t>
      </w:r>
      <w:proofErr w:type="spellEnd"/>
      <w:r>
        <w:rPr>
          <w:b/>
          <w:bCs/>
          <w:szCs w:val="24"/>
        </w:rPr>
        <w:t xml:space="preserve"> WI.</w:t>
      </w:r>
      <w:bookmarkEnd w:id="6"/>
      <w:r>
        <w:rPr>
          <w:b/>
          <w:bCs/>
          <w:szCs w:val="24"/>
        </w:rPr>
        <w:t xml:space="preserve"> </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70C7CDBE" w14:textId="579F780A"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r w:rsidR="00160C88">
        <w:rPr>
          <w:b/>
          <w:szCs w:val="24"/>
        </w:rPr>
        <w:t xml:space="preserve"> </w:t>
      </w:r>
    </w:p>
    <w:p w14:paraId="5B2FBF70" w14:textId="695EF349" w:rsidR="00160C88" w:rsidRPr="00160C88" w:rsidRDefault="00160C88" w:rsidP="00D248A3">
      <w:pPr>
        <w:tabs>
          <w:tab w:val="num" w:pos="2160"/>
        </w:tabs>
        <w:spacing w:beforeLines="100" w:before="240" w:afterLines="100" w:after="240"/>
        <w:jc w:val="both"/>
        <w:textAlignment w:val="center"/>
        <w:rPr>
          <w:b/>
          <w:szCs w:val="24"/>
        </w:rPr>
      </w:pPr>
      <w:r w:rsidRPr="00160C88">
        <w:rPr>
          <w:b/>
          <w:szCs w:val="24"/>
        </w:rPr>
        <w:fldChar w:fldCharType="begin"/>
      </w:r>
      <w:r w:rsidRPr="00160C88">
        <w:rPr>
          <w:b/>
          <w:szCs w:val="24"/>
        </w:rPr>
        <w:instrText xml:space="preserve"> REF _Ref149062250 \h </w:instrText>
      </w:r>
      <w:r>
        <w:rPr>
          <w:b/>
          <w:szCs w:val="24"/>
        </w:rPr>
        <w:instrText xml:space="preserve"> \* MERGEFORMAT </w:instrText>
      </w:r>
      <w:r w:rsidRPr="00160C88">
        <w:rPr>
          <w:b/>
          <w:szCs w:val="24"/>
        </w:rPr>
      </w:r>
      <w:r w:rsidRPr="00160C88">
        <w:rPr>
          <w:b/>
          <w:szCs w:val="24"/>
        </w:rPr>
        <w:fldChar w:fldCharType="separate"/>
      </w:r>
      <w:r w:rsidR="00BF1B0A" w:rsidRPr="004337EE">
        <w:rPr>
          <w:b/>
          <w:szCs w:val="24"/>
        </w:rPr>
        <w:t xml:space="preserve">Proposal </w:t>
      </w:r>
      <w:r w:rsidR="00BF1B0A">
        <w:rPr>
          <w:b/>
          <w:szCs w:val="24"/>
        </w:rPr>
        <w:t>1</w:t>
      </w:r>
      <w:r w:rsidR="00BF1B0A" w:rsidRPr="004337EE">
        <w:rPr>
          <w:b/>
          <w:szCs w:val="24"/>
        </w:rPr>
        <w:t xml:space="preserve">: </w:t>
      </w:r>
      <w:r w:rsidR="00C25FB6">
        <w:rPr>
          <w:b/>
          <w:szCs w:val="24"/>
        </w:rPr>
        <w:t>S</w:t>
      </w:r>
      <w:r w:rsidR="00BF1B0A" w:rsidRPr="00160C88">
        <w:rPr>
          <w:b/>
          <w:szCs w:val="24"/>
        </w:rPr>
        <w:t xml:space="preserve">cheduling/measurement restriction and dual TCI state switch </w:t>
      </w:r>
      <w:r w:rsidR="00BF1B0A">
        <w:rPr>
          <w:b/>
          <w:szCs w:val="24"/>
        </w:rPr>
        <w:t>are m</w:t>
      </w:r>
      <w:r w:rsidR="00BF1B0A" w:rsidRPr="00160C88">
        <w:rPr>
          <w:b/>
          <w:szCs w:val="24"/>
        </w:rPr>
        <w:t>erge</w:t>
      </w:r>
      <w:r w:rsidR="00BF1B0A">
        <w:rPr>
          <w:b/>
          <w:szCs w:val="24"/>
        </w:rPr>
        <w:t>d</w:t>
      </w:r>
      <w:r w:rsidR="00BF1B0A" w:rsidRPr="00160C88">
        <w:rPr>
          <w:b/>
          <w:szCs w:val="24"/>
        </w:rPr>
        <w:t xml:space="preserve"> into </w:t>
      </w:r>
      <w:r w:rsidR="00150336">
        <w:rPr>
          <w:b/>
          <w:szCs w:val="24"/>
        </w:rPr>
        <w:t xml:space="preserve">a </w:t>
      </w:r>
      <w:r w:rsidR="00BF1B0A" w:rsidRPr="00160C88">
        <w:rPr>
          <w:b/>
          <w:szCs w:val="24"/>
        </w:rPr>
        <w:t>single FG</w:t>
      </w:r>
      <w:r w:rsidR="00BF1B0A">
        <w:rPr>
          <w:b/>
          <w:szCs w:val="24"/>
        </w:rPr>
        <w:t>.</w:t>
      </w:r>
      <w:r w:rsidRPr="00160C88">
        <w:rPr>
          <w:b/>
          <w:szCs w:val="24"/>
        </w:rPr>
        <w:fldChar w:fldCharType="end"/>
      </w:r>
    </w:p>
    <w:p w14:paraId="245D2D71" w14:textId="2A362E0E" w:rsidR="00160C88" w:rsidRDefault="00160C88" w:rsidP="00D248A3">
      <w:pPr>
        <w:tabs>
          <w:tab w:val="num" w:pos="2160"/>
        </w:tabs>
        <w:spacing w:beforeLines="100" w:before="240" w:afterLines="100" w:after="240"/>
        <w:jc w:val="both"/>
        <w:textAlignment w:val="center"/>
        <w:rPr>
          <w:b/>
          <w:szCs w:val="24"/>
        </w:rPr>
      </w:pPr>
      <w:r w:rsidRPr="00160C88">
        <w:rPr>
          <w:b/>
          <w:szCs w:val="24"/>
        </w:rPr>
        <w:fldChar w:fldCharType="begin"/>
      </w:r>
      <w:r w:rsidRPr="00160C88">
        <w:rPr>
          <w:b/>
          <w:szCs w:val="24"/>
        </w:rPr>
        <w:instrText xml:space="preserve"> REF _Ref149062214 \h </w:instrText>
      </w:r>
      <w:r>
        <w:rPr>
          <w:b/>
          <w:szCs w:val="24"/>
        </w:rPr>
        <w:instrText xml:space="preserve"> \* MERGEFORMAT </w:instrText>
      </w:r>
      <w:r w:rsidRPr="00160C88">
        <w:rPr>
          <w:b/>
          <w:szCs w:val="24"/>
        </w:rPr>
      </w:r>
      <w:r w:rsidRPr="00160C88">
        <w:rPr>
          <w:b/>
          <w:szCs w:val="24"/>
        </w:rPr>
        <w:fldChar w:fldCharType="separate"/>
      </w:r>
      <w:r w:rsidR="00BF1B0A" w:rsidRPr="00FB4797">
        <w:rPr>
          <w:b/>
          <w:szCs w:val="24"/>
        </w:rPr>
        <w:t xml:space="preserve">Proposal 2: For fast beam sweeping, </w:t>
      </w:r>
      <w:proofErr w:type="spellStart"/>
      <w:r w:rsidR="00BF1B0A" w:rsidRPr="00FB4797">
        <w:rPr>
          <w:b/>
          <w:szCs w:val="24"/>
        </w:rPr>
        <w:t>gNB</w:t>
      </w:r>
      <w:proofErr w:type="spellEnd"/>
      <w:r w:rsidR="00BF1B0A" w:rsidRPr="00FB4797">
        <w:rPr>
          <w:b/>
          <w:szCs w:val="24"/>
        </w:rPr>
        <w:t xml:space="preserve"> does not need to know the reduced sweeping factor.</w:t>
      </w:r>
      <w:r w:rsidRPr="00160C88">
        <w:rPr>
          <w:b/>
          <w:szCs w:val="24"/>
        </w:rPr>
        <w:fldChar w:fldCharType="end"/>
      </w:r>
    </w:p>
    <w:p w14:paraId="60D95A62" w14:textId="776F4172" w:rsidR="00BF1B0A" w:rsidRPr="00160C88" w:rsidRDefault="00BF1B0A" w:rsidP="00D248A3">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_Ref149555672 \h </w:instrText>
      </w:r>
      <w:r>
        <w:rPr>
          <w:b/>
          <w:szCs w:val="24"/>
        </w:rPr>
      </w:r>
      <w:r>
        <w:rPr>
          <w:b/>
          <w:szCs w:val="24"/>
        </w:rPr>
        <w:fldChar w:fldCharType="separate"/>
      </w:r>
      <w:r w:rsidRPr="00FB4797">
        <w:rPr>
          <w:b/>
          <w:bCs/>
          <w:szCs w:val="24"/>
        </w:rPr>
        <w:t xml:space="preserve">Proposal </w:t>
      </w:r>
      <w:r>
        <w:rPr>
          <w:b/>
          <w:bCs/>
          <w:noProof/>
          <w:szCs w:val="24"/>
        </w:rPr>
        <w:t>3</w:t>
      </w:r>
      <w:r w:rsidRPr="00FB4797">
        <w:rPr>
          <w:b/>
          <w:bCs/>
          <w:szCs w:val="24"/>
        </w:rPr>
        <w:t xml:space="preserve">: </w:t>
      </w:r>
      <w:r>
        <w:rPr>
          <w:b/>
          <w:bCs/>
          <w:szCs w:val="24"/>
        </w:rPr>
        <w:t xml:space="preserve">Consider Table 2 when introducing UE feature list for </w:t>
      </w:r>
      <w:proofErr w:type="spellStart"/>
      <w:r>
        <w:rPr>
          <w:b/>
          <w:bCs/>
          <w:szCs w:val="24"/>
        </w:rPr>
        <w:t>mRx</w:t>
      </w:r>
      <w:proofErr w:type="spellEnd"/>
      <w:r>
        <w:rPr>
          <w:b/>
          <w:bCs/>
          <w:szCs w:val="24"/>
        </w:rPr>
        <w:t xml:space="preserve"> WI.</w:t>
      </w:r>
      <w:r>
        <w:rPr>
          <w:b/>
          <w:szCs w:val="24"/>
        </w:rPr>
        <w:fldChar w:fldCharType="end"/>
      </w:r>
    </w:p>
    <w:p w14:paraId="1ECB9334" w14:textId="5B31747C" w:rsidR="00707EC5" w:rsidRDefault="00165A43" w:rsidP="00707EC5">
      <w:pPr>
        <w:pStyle w:val="Heading1"/>
        <w:numPr>
          <w:ilvl w:val="0"/>
          <w:numId w:val="1"/>
        </w:numPr>
        <w:jc w:val="both"/>
        <w:rPr>
          <w:rFonts w:asciiTheme="minorHAnsi" w:hAnsiTheme="minorHAnsi" w:cstheme="minorHAnsi"/>
          <w:szCs w:val="36"/>
        </w:rPr>
      </w:pPr>
      <w:bookmarkStart w:id="7" w:name="_Hlk94866332"/>
      <w:r w:rsidRPr="003533F2">
        <w:rPr>
          <w:rFonts w:asciiTheme="minorHAnsi" w:hAnsiTheme="minorHAnsi" w:cstheme="minorHAnsi"/>
          <w:szCs w:val="36"/>
        </w:rPr>
        <w:t>Reference</w:t>
      </w:r>
    </w:p>
    <w:p w14:paraId="49535B38" w14:textId="3C42BFDF" w:rsidR="00DF14F3" w:rsidRPr="003E20BE" w:rsidRDefault="003E20BE" w:rsidP="003E20BE">
      <w:pPr>
        <w:pStyle w:val="Caption"/>
        <w:rPr>
          <w:rFonts w:cstheme="minorHAnsi"/>
          <w:b w:val="0"/>
          <w:sz w:val="24"/>
          <w:szCs w:val="24"/>
          <w:lang w:val="en-GB" w:eastAsia="en-US"/>
        </w:rPr>
      </w:pPr>
      <w:bookmarkStart w:id="8" w:name="_Hlk141011611"/>
      <w:bookmarkStart w:id="9" w:name="_Ref141290370"/>
      <w:bookmarkEnd w:id="7"/>
      <w:r w:rsidRPr="003E20BE">
        <w:rPr>
          <w:rFonts w:cstheme="minorHAnsi"/>
          <w:b w:val="0"/>
          <w:sz w:val="24"/>
          <w:szCs w:val="24"/>
          <w:lang w:val="en-GB" w:eastAsia="en-US"/>
        </w:rPr>
        <w:t>[</w:t>
      </w:r>
      <w:r w:rsidR="004337EE">
        <w:rPr>
          <w:rFonts w:cstheme="minorHAnsi"/>
          <w:b w:val="0"/>
          <w:sz w:val="24"/>
          <w:szCs w:val="24"/>
          <w:lang w:val="en-GB" w:eastAsia="en-US"/>
        </w:rPr>
        <w:t>1</w:t>
      </w:r>
      <w:r w:rsidRPr="003E20BE">
        <w:rPr>
          <w:rFonts w:cstheme="minorHAnsi"/>
          <w:b w:val="0"/>
          <w:sz w:val="24"/>
          <w:szCs w:val="24"/>
          <w:lang w:val="en-GB" w:eastAsia="en-US"/>
        </w:rPr>
        <w:t xml:space="preserve">] </w:t>
      </w:r>
      <w:r w:rsidR="00AD4E01" w:rsidRPr="003E20BE">
        <w:rPr>
          <w:rFonts w:cstheme="minorHAnsi"/>
          <w:b w:val="0"/>
          <w:sz w:val="24"/>
          <w:szCs w:val="24"/>
          <w:lang w:val="en-GB" w:eastAsia="en-US"/>
        </w:rPr>
        <w:t>R4-23</w:t>
      </w:r>
      <w:r w:rsidR="00160C88">
        <w:rPr>
          <w:rFonts w:eastAsia="新細明體" w:cstheme="minorHAnsi" w:hint="eastAsia"/>
          <w:b w:val="0"/>
          <w:sz w:val="24"/>
          <w:szCs w:val="24"/>
          <w:lang w:val="en-GB"/>
        </w:rPr>
        <w:t>1</w:t>
      </w:r>
      <w:r w:rsidR="00160C88">
        <w:rPr>
          <w:rFonts w:eastAsia="新細明體" w:cstheme="minorHAnsi"/>
          <w:b w:val="0"/>
          <w:sz w:val="24"/>
          <w:szCs w:val="24"/>
          <w:lang w:val="en-GB"/>
        </w:rPr>
        <w:t>7</w:t>
      </w:r>
      <w:r w:rsidR="00160C88">
        <w:rPr>
          <w:rFonts w:cstheme="minorHAnsi"/>
          <w:b w:val="0"/>
          <w:sz w:val="24"/>
          <w:szCs w:val="24"/>
          <w:lang w:val="en-GB" w:eastAsia="en-US"/>
        </w:rPr>
        <w:t>33</w:t>
      </w:r>
      <w:r w:rsidR="004337EE">
        <w:rPr>
          <w:rFonts w:cstheme="minorHAnsi"/>
          <w:b w:val="0"/>
          <w:sz w:val="24"/>
          <w:szCs w:val="24"/>
          <w:lang w:val="en-GB" w:eastAsia="en-US"/>
        </w:rPr>
        <w:t>2</w:t>
      </w:r>
      <w:r w:rsidR="00AD4E01" w:rsidRPr="003E20BE">
        <w:rPr>
          <w:rFonts w:cstheme="minorHAnsi"/>
          <w:b w:val="0"/>
          <w:sz w:val="24"/>
          <w:szCs w:val="24"/>
          <w:lang w:val="en-GB" w:eastAsia="en-US"/>
        </w:rPr>
        <w:t xml:space="preserve">, </w:t>
      </w:r>
      <w:r w:rsidR="00160C88">
        <w:rPr>
          <w:rFonts w:ascii="Arial" w:hAnsi="Arial" w:cs="Arial"/>
          <w:b w:val="0"/>
          <w:bCs/>
          <w:lang w:val="en-GB"/>
        </w:rPr>
        <w:t>WF on FR2 multi-RX operation RRM requirements (part 1)</w:t>
      </w:r>
      <w:r w:rsidR="00AD4E01" w:rsidRPr="003E20BE">
        <w:rPr>
          <w:rFonts w:cstheme="minorHAnsi"/>
          <w:b w:val="0"/>
          <w:sz w:val="24"/>
          <w:szCs w:val="24"/>
          <w:lang w:val="en-GB" w:eastAsia="en-US"/>
        </w:rPr>
        <w:t>, Vivo, RAN4 #10</w:t>
      </w:r>
      <w:bookmarkEnd w:id="8"/>
      <w:bookmarkEnd w:id="9"/>
      <w:r w:rsidR="00160C88">
        <w:rPr>
          <w:rFonts w:cstheme="minorHAnsi"/>
          <w:b w:val="0"/>
          <w:sz w:val="24"/>
          <w:szCs w:val="24"/>
          <w:lang w:val="en-GB" w:eastAsia="en-US"/>
        </w:rPr>
        <w:t>8bis</w:t>
      </w:r>
    </w:p>
    <w:sectPr w:rsidR="00DF14F3" w:rsidRPr="003E20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3699" w14:textId="77777777" w:rsidR="001F7C20" w:rsidRDefault="001F7C20">
      <w:r>
        <w:separator/>
      </w:r>
    </w:p>
  </w:endnote>
  <w:endnote w:type="continuationSeparator" w:id="0">
    <w:p w14:paraId="73E35490" w14:textId="77777777" w:rsidR="001F7C20" w:rsidRDefault="001F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E1F5D" w14:textId="77777777" w:rsidR="001F7C20" w:rsidRDefault="001F7C20">
      <w:r>
        <w:separator/>
      </w:r>
    </w:p>
  </w:footnote>
  <w:footnote w:type="continuationSeparator" w:id="0">
    <w:p w14:paraId="46795340" w14:textId="77777777" w:rsidR="001F7C20" w:rsidRDefault="001F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606D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216"/>
    <w:multiLevelType w:val="hybridMultilevel"/>
    <w:tmpl w:val="0D249D9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CE4343D"/>
    <w:multiLevelType w:val="multilevel"/>
    <w:tmpl w:val="AE4C4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1B53CE"/>
    <w:multiLevelType w:val="multilevel"/>
    <w:tmpl w:val="8968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9D2A6C"/>
    <w:multiLevelType w:val="multilevel"/>
    <w:tmpl w:val="4F48F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976BDA"/>
    <w:multiLevelType w:val="multilevel"/>
    <w:tmpl w:val="D25EF532"/>
    <w:lvl w:ilvl="0">
      <w:start w:val="1"/>
      <w:numFmt w:val="bullet"/>
      <w:lvlText w:val=""/>
      <w:lvlJc w:val="left"/>
      <w:pPr>
        <w:tabs>
          <w:tab w:val="num" w:pos="672"/>
        </w:tabs>
        <w:ind w:left="672" w:hanging="360"/>
      </w:pPr>
      <w:rPr>
        <w:rFonts w:ascii="Symbol" w:hAnsi="Symbol" w:hint="default"/>
        <w:sz w:val="20"/>
      </w:rPr>
    </w:lvl>
    <w:lvl w:ilvl="1">
      <w:start w:val="1"/>
      <w:numFmt w:val="bullet"/>
      <w:lvlText w:val=""/>
      <w:lvlJc w:val="left"/>
      <w:pPr>
        <w:tabs>
          <w:tab w:val="num" w:pos="1392"/>
        </w:tabs>
        <w:ind w:left="1392" w:hanging="360"/>
      </w:pPr>
      <w:rPr>
        <w:rFonts w:ascii="Symbol" w:hAnsi="Symbol" w:hint="default"/>
        <w:sz w:val="20"/>
      </w:rPr>
    </w:lvl>
    <w:lvl w:ilvl="2">
      <w:start w:val="1"/>
      <w:numFmt w:val="bullet"/>
      <w:lvlText w:val=""/>
      <w:lvlJc w:val="left"/>
      <w:pPr>
        <w:tabs>
          <w:tab w:val="num" w:pos="2112"/>
        </w:tabs>
        <w:ind w:left="2112" w:hanging="360"/>
      </w:pPr>
      <w:rPr>
        <w:rFonts w:ascii="Symbol" w:hAnsi="Symbol" w:hint="default"/>
        <w:sz w:val="20"/>
      </w:rPr>
    </w:lvl>
    <w:lvl w:ilvl="3" w:tentative="1">
      <w:start w:val="1"/>
      <w:numFmt w:val="bullet"/>
      <w:lvlText w:val=""/>
      <w:lvlJc w:val="left"/>
      <w:pPr>
        <w:tabs>
          <w:tab w:val="num" w:pos="2832"/>
        </w:tabs>
        <w:ind w:left="2832" w:hanging="360"/>
      </w:pPr>
      <w:rPr>
        <w:rFonts w:ascii="Symbol" w:hAnsi="Symbol" w:hint="default"/>
        <w:sz w:val="20"/>
      </w:rPr>
    </w:lvl>
    <w:lvl w:ilvl="4" w:tentative="1">
      <w:start w:val="1"/>
      <w:numFmt w:val="bullet"/>
      <w:lvlText w:val=""/>
      <w:lvlJc w:val="left"/>
      <w:pPr>
        <w:tabs>
          <w:tab w:val="num" w:pos="3552"/>
        </w:tabs>
        <w:ind w:left="3552" w:hanging="360"/>
      </w:pPr>
      <w:rPr>
        <w:rFonts w:ascii="Symbol" w:hAnsi="Symbol" w:hint="default"/>
        <w:sz w:val="20"/>
      </w:rPr>
    </w:lvl>
    <w:lvl w:ilvl="5" w:tentative="1">
      <w:start w:val="1"/>
      <w:numFmt w:val="bullet"/>
      <w:lvlText w:val=""/>
      <w:lvlJc w:val="left"/>
      <w:pPr>
        <w:tabs>
          <w:tab w:val="num" w:pos="4272"/>
        </w:tabs>
        <w:ind w:left="4272" w:hanging="360"/>
      </w:pPr>
      <w:rPr>
        <w:rFonts w:ascii="Symbol" w:hAnsi="Symbol" w:hint="default"/>
        <w:sz w:val="20"/>
      </w:rPr>
    </w:lvl>
    <w:lvl w:ilvl="6" w:tentative="1">
      <w:start w:val="1"/>
      <w:numFmt w:val="bullet"/>
      <w:lvlText w:val=""/>
      <w:lvlJc w:val="left"/>
      <w:pPr>
        <w:tabs>
          <w:tab w:val="num" w:pos="4992"/>
        </w:tabs>
        <w:ind w:left="4992" w:hanging="360"/>
      </w:pPr>
      <w:rPr>
        <w:rFonts w:ascii="Symbol" w:hAnsi="Symbol" w:hint="default"/>
        <w:sz w:val="20"/>
      </w:rPr>
    </w:lvl>
    <w:lvl w:ilvl="7" w:tentative="1">
      <w:start w:val="1"/>
      <w:numFmt w:val="bullet"/>
      <w:lvlText w:val=""/>
      <w:lvlJc w:val="left"/>
      <w:pPr>
        <w:tabs>
          <w:tab w:val="num" w:pos="5712"/>
        </w:tabs>
        <w:ind w:left="5712" w:hanging="360"/>
      </w:pPr>
      <w:rPr>
        <w:rFonts w:ascii="Symbol" w:hAnsi="Symbol" w:hint="default"/>
        <w:sz w:val="20"/>
      </w:rPr>
    </w:lvl>
    <w:lvl w:ilvl="8" w:tentative="1">
      <w:start w:val="1"/>
      <w:numFmt w:val="bullet"/>
      <w:lvlText w:val=""/>
      <w:lvlJc w:val="left"/>
      <w:pPr>
        <w:tabs>
          <w:tab w:val="num" w:pos="6432"/>
        </w:tabs>
        <w:ind w:left="6432" w:hanging="360"/>
      </w:pPr>
      <w:rPr>
        <w:rFonts w:ascii="Symbol" w:hAnsi="Symbol" w:hint="default"/>
        <w:sz w:val="20"/>
      </w:rPr>
    </w:lvl>
  </w:abstractNum>
  <w:abstractNum w:abstractNumId="9" w15:restartNumberingAfterBreak="0">
    <w:nsid w:val="1865151A"/>
    <w:multiLevelType w:val="multilevel"/>
    <w:tmpl w:val="BC96557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6009A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1579A0"/>
    <w:multiLevelType w:val="multilevel"/>
    <w:tmpl w:val="62444F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2C47843"/>
    <w:multiLevelType w:val="multilevel"/>
    <w:tmpl w:val="F72C0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6870EF"/>
    <w:multiLevelType w:val="multilevel"/>
    <w:tmpl w:val="BD7240B4"/>
    <w:lvl w:ilvl="0">
      <w:start w:val="1"/>
      <w:numFmt w:val="bullet"/>
      <w:lvlText w:val=""/>
      <w:lvlJc w:val="left"/>
      <w:pPr>
        <w:tabs>
          <w:tab w:val="num" w:pos="624"/>
        </w:tabs>
        <w:ind w:left="624" w:hanging="360"/>
      </w:pPr>
      <w:rPr>
        <w:rFonts w:ascii="Symbol" w:hAnsi="Symbol" w:hint="default"/>
        <w:sz w:val="20"/>
      </w:rPr>
    </w:lvl>
    <w:lvl w:ilvl="1">
      <w:start w:val="1"/>
      <w:numFmt w:val="bullet"/>
      <w:lvlText w:val=""/>
      <w:lvlJc w:val="left"/>
      <w:pPr>
        <w:tabs>
          <w:tab w:val="num" w:pos="1344"/>
        </w:tabs>
        <w:ind w:left="1344" w:hanging="360"/>
      </w:pPr>
      <w:rPr>
        <w:rFonts w:ascii="Symbol" w:hAnsi="Symbol" w:hint="default"/>
        <w:sz w:val="20"/>
      </w:rPr>
    </w:lvl>
    <w:lvl w:ilvl="2">
      <w:start w:val="1"/>
      <w:numFmt w:val="bullet"/>
      <w:lvlText w:val=""/>
      <w:lvlJc w:val="left"/>
      <w:pPr>
        <w:tabs>
          <w:tab w:val="num" w:pos="2064"/>
        </w:tabs>
        <w:ind w:left="2064" w:hanging="360"/>
      </w:pPr>
      <w:rPr>
        <w:rFonts w:ascii="Symbol" w:hAnsi="Symbol" w:hint="default"/>
        <w:sz w:val="20"/>
      </w:rPr>
    </w:lvl>
    <w:lvl w:ilvl="3" w:tentative="1">
      <w:start w:val="1"/>
      <w:numFmt w:val="bullet"/>
      <w:lvlText w:val=""/>
      <w:lvlJc w:val="left"/>
      <w:pPr>
        <w:tabs>
          <w:tab w:val="num" w:pos="2784"/>
        </w:tabs>
        <w:ind w:left="2784" w:hanging="360"/>
      </w:pPr>
      <w:rPr>
        <w:rFonts w:ascii="Symbol" w:hAnsi="Symbol" w:hint="default"/>
        <w:sz w:val="20"/>
      </w:rPr>
    </w:lvl>
    <w:lvl w:ilvl="4" w:tentative="1">
      <w:start w:val="1"/>
      <w:numFmt w:val="bullet"/>
      <w:lvlText w:val=""/>
      <w:lvlJc w:val="left"/>
      <w:pPr>
        <w:tabs>
          <w:tab w:val="num" w:pos="3504"/>
        </w:tabs>
        <w:ind w:left="3504" w:hanging="360"/>
      </w:pPr>
      <w:rPr>
        <w:rFonts w:ascii="Symbol" w:hAnsi="Symbol" w:hint="default"/>
        <w:sz w:val="20"/>
      </w:rPr>
    </w:lvl>
    <w:lvl w:ilvl="5" w:tentative="1">
      <w:start w:val="1"/>
      <w:numFmt w:val="bullet"/>
      <w:lvlText w:val=""/>
      <w:lvlJc w:val="left"/>
      <w:pPr>
        <w:tabs>
          <w:tab w:val="num" w:pos="4224"/>
        </w:tabs>
        <w:ind w:left="4224" w:hanging="360"/>
      </w:pPr>
      <w:rPr>
        <w:rFonts w:ascii="Symbol" w:hAnsi="Symbol" w:hint="default"/>
        <w:sz w:val="20"/>
      </w:rPr>
    </w:lvl>
    <w:lvl w:ilvl="6" w:tentative="1">
      <w:start w:val="1"/>
      <w:numFmt w:val="bullet"/>
      <w:lvlText w:val=""/>
      <w:lvlJc w:val="left"/>
      <w:pPr>
        <w:tabs>
          <w:tab w:val="num" w:pos="4944"/>
        </w:tabs>
        <w:ind w:left="4944" w:hanging="360"/>
      </w:pPr>
      <w:rPr>
        <w:rFonts w:ascii="Symbol" w:hAnsi="Symbol" w:hint="default"/>
        <w:sz w:val="20"/>
      </w:rPr>
    </w:lvl>
    <w:lvl w:ilvl="7" w:tentative="1">
      <w:start w:val="1"/>
      <w:numFmt w:val="bullet"/>
      <w:lvlText w:val=""/>
      <w:lvlJc w:val="left"/>
      <w:pPr>
        <w:tabs>
          <w:tab w:val="num" w:pos="5664"/>
        </w:tabs>
        <w:ind w:left="5664" w:hanging="360"/>
      </w:pPr>
      <w:rPr>
        <w:rFonts w:ascii="Symbol" w:hAnsi="Symbol" w:hint="default"/>
        <w:sz w:val="20"/>
      </w:rPr>
    </w:lvl>
    <w:lvl w:ilvl="8" w:tentative="1">
      <w:start w:val="1"/>
      <w:numFmt w:val="bullet"/>
      <w:lvlText w:val=""/>
      <w:lvlJc w:val="left"/>
      <w:pPr>
        <w:tabs>
          <w:tab w:val="num" w:pos="6384"/>
        </w:tabs>
        <w:ind w:left="6384" w:hanging="360"/>
      </w:pPr>
      <w:rPr>
        <w:rFonts w:ascii="Symbol" w:hAnsi="Symbol" w:hint="default"/>
        <w:sz w:val="20"/>
      </w:rPr>
    </w:lvl>
  </w:abstractNum>
  <w:abstractNum w:abstractNumId="17"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6AE2295"/>
    <w:multiLevelType w:val="multilevel"/>
    <w:tmpl w:val="C190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E13C55"/>
    <w:multiLevelType w:val="multilevel"/>
    <w:tmpl w:val="6D725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635A1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91579B3"/>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4936BA"/>
    <w:multiLevelType w:val="multilevel"/>
    <w:tmpl w:val="6E4853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60562B"/>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7B1C63"/>
    <w:multiLevelType w:val="multilevel"/>
    <w:tmpl w:val="5F526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97132"/>
    <w:multiLevelType w:val="multilevel"/>
    <w:tmpl w:val="D1AC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622AEC"/>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15E2D54"/>
    <w:multiLevelType w:val="hybridMultilevel"/>
    <w:tmpl w:val="51824C8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187372A"/>
    <w:multiLevelType w:val="multilevel"/>
    <w:tmpl w:val="0BA41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FB620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63F1E"/>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7" w15:restartNumberingAfterBreak="0">
    <w:nsid w:val="6895643B"/>
    <w:multiLevelType w:val="hybridMultilevel"/>
    <w:tmpl w:val="A0E855DA"/>
    <w:lvl w:ilvl="0" w:tplc="EA74E7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8D92705"/>
    <w:multiLevelType w:val="multilevel"/>
    <w:tmpl w:val="5C8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1B2466"/>
    <w:multiLevelType w:val="hybridMultilevel"/>
    <w:tmpl w:val="170EF61E"/>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DA10483"/>
    <w:multiLevelType w:val="multilevel"/>
    <w:tmpl w:val="969A2E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0497FE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85091F"/>
    <w:multiLevelType w:val="multilevel"/>
    <w:tmpl w:val="1CE84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DD0451"/>
    <w:multiLevelType w:val="multilevel"/>
    <w:tmpl w:val="AD005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05851868">
    <w:abstractNumId w:val="40"/>
  </w:num>
  <w:num w:numId="2" w16cid:durableId="1505629085">
    <w:abstractNumId w:val="22"/>
  </w:num>
  <w:num w:numId="3" w16cid:durableId="1025862210">
    <w:abstractNumId w:val="2"/>
  </w:num>
  <w:num w:numId="4" w16cid:durableId="875964040">
    <w:abstractNumId w:val="0"/>
  </w:num>
  <w:num w:numId="5" w16cid:durableId="917636276">
    <w:abstractNumId w:val="30"/>
  </w:num>
  <w:num w:numId="6" w16cid:durableId="329917226">
    <w:abstractNumId w:val="9"/>
  </w:num>
  <w:num w:numId="7" w16cid:durableId="344863118">
    <w:abstractNumId w:val="21"/>
  </w:num>
  <w:num w:numId="8" w16cid:durableId="2125687954">
    <w:abstractNumId w:val="5"/>
  </w:num>
  <w:num w:numId="9" w16cid:durableId="1312372825">
    <w:abstractNumId w:val="14"/>
  </w:num>
  <w:num w:numId="10" w16cid:durableId="1094548206">
    <w:abstractNumId w:val="17"/>
  </w:num>
  <w:num w:numId="11" w16cid:durableId="1790969455">
    <w:abstractNumId w:val="31"/>
  </w:num>
  <w:num w:numId="12" w16cid:durableId="1037849429">
    <w:abstractNumId w:val="26"/>
  </w:num>
  <w:num w:numId="13" w16cid:durableId="603003013">
    <w:abstractNumId w:val="11"/>
  </w:num>
  <w:num w:numId="14" w16cid:durableId="260837366">
    <w:abstractNumId w:val="10"/>
  </w:num>
  <w:num w:numId="15" w16cid:durableId="213196308">
    <w:abstractNumId w:val="38"/>
  </w:num>
  <w:num w:numId="16" w16cid:durableId="55862210">
    <w:abstractNumId w:val="28"/>
  </w:num>
  <w:num w:numId="17" w16cid:durableId="1711109429">
    <w:abstractNumId w:val="16"/>
  </w:num>
  <w:num w:numId="18" w16cid:durableId="1828283853">
    <w:abstractNumId w:val="4"/>
  </w:num>
  <w:num w:numId="19" w16cid:durableId="1281182268">
    <w:abstractNumId w:val="18"/>
  </w:num>
  <w:num w:numId="20" w16cid:durableId="485169895">
    <w:abstractNumId w:val="6"/>
  </w:num>
  <w:num w:numId="21" w16cid:durableId="1106461669">
    <w:abstractNumId w:val="8"/>
  </w:num>
  <w:num w:numId="22" w16cid:durableId="2001304407">
    <w:abstractNumId w:val="25"/>
  </w:num>
  <w:num w:numId="23" w16cid:durableId="243952605">
    <w:abstractNumId w:val="19"/>
  </w:num>
  <w:num w:numId="24" w16cid:durableId="1697383979">
    <w:abstractNumId w:val="43"/>
  </w:num>
  <w:num w:numId="25" w16cid:durableId="396901487">
    <w:abstractNumId w:val="20"/>
  </w:num>
  <w:num w:numId="26" w16cid:durableId="1870290332">
    <w:abstractNumId w:val="35"/>
  </w:num>
  <w:num w:numId="27" w16cid:durableId="2036614642">
    <w:abstractNumId w:val="23"/>
  </w:num>
  <w:num w:numId="28" w16cid:durableId="496894065">
    <w:abstractNumId w:val="29"/>
  </w:num>
  <w:num w:numId="29" w16cid:durableId="461923505">
    <w:abstractNumId w:val="12"/>
  </w:num>
  <w:num w:numId="30" w16cid:durableId="2123764591">
    <w:abstractNumId w:val="1"/>
  </w:num>
  <w:num w:numId="31" w16cid:durableId="1131628749">
    <w:abstractNumId w:val="34"/>
  </w:num>
  <w:num w:numId="32" w16cid:durableId="1831822507">
    <w:abstractNumId w:val="42"/>
  </w:num>
  <w:num w:numId="33" w16cid:durableId="69738639">
    <w:abstractNumId w:val="37"/>
  </w:num>
  <w:num w:numId="34" w16cid:durableId="900288831">
    <w:abstractNumId w:val="36"/>
  </w:num>
  <w:num w:numId="35" w16cid:durableId="1227498864">
    <w:abstractNumId w:val="33"/>
  </w:num>
  <w:num w:numId="36" w16cid:durableId="372000948">
    <w:abstractNumId w:val="32"/>
  </w:num>
  <w:num w:numId="37" w16cid:durableId="56974237">
    <w:abstractNumId w:val="15"/>
  </w:num>
  <w:num w:numId="38" w16cid:durableId="1910772924">
    <w:abstractNumId w:val="27"/>
  </w:num>
  <w:num w:numId="39" w16cid:durableId="1738746674">
    <w:abstractNumId w:val="7"/>
  </w:num>
  <w:num w:numId="40" w16cid:durableId="1424690837">
    <w:abstractNumId w:val="3"/>
  </w:num>
  <w:num w:numId="41" w16cid:durableId="500700020">
    <w:abstractNumId w:val="24"/>
  </w:num>
  <w:num w:numId="42" w16cid:durableId="1705133187">
    <w:abstractNumId w:val="44"/>
  </w:num>
  <w:num w:numId="43" w16cid:durableId="889417447">
    <w:abstractNumId w:val="41"/>
  </w:num>
  <w:num w:numId="44" w16cid:durableId="716973224">
    <w:abstractNumId w:val="39"/>
  </w:num>
  <w:num w:numId="45" w16cid:durableId="2133742737">
    <w:abstractNumId w:val="13"/>
  </w:num>
  <w:num w:numId="46" w16cid:durableId="1812016113">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28"/>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336"/>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C20"/>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9D7"/>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57"/>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E47"/>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C90"/>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63"/>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0FE"/>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0DE"/>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2AD"/>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3CA"/>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7B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5CD"/>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5BDB"/>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7A0"/>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1A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15"/>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B0A"/>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5FB6"/>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05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2EB"/>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0B4"/>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97"/>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BB49EF5-6EA8-415F-9F4C-C243230C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0F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610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10F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10</cp:revision>
  <dcterms:created xsi:type="dcterms:W3CDTF">2023-10-30T11:25:00Z</dcterms:created>
  <dcterms:modified xsi:type="dcterms:W3CDTF">2023-11-02T13:00:00Z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